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8" w:lineRule="auto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bookmarkStart w:id="0" w:name="_GoBack"/>
      <w:bookmarkEnd w:id="0"/>
    </w:p>
    <w:p>
      <w:pPr>
        <w:spacing w:line="348" w:lineRule="auto"/>
        <w:jc w:val="center"/>
        <w:rPr>
          <w:rFonts w:eastAsia="方正小标宋简体"/>
          <w:bCs/>
          <w:sz w:val="42"/>
          <w:szCs w:val="42"/>
        </w:rPr>
      </w:pPr>
    </w:p>
    <w:p>
      <w:pPr>
        <w:spacing w:line="800" w:lineRule="exact"/>
        <w:jc w:val="center"/>
        <w:rPr>
          <w:rFonts w:eastAsia="方正小标宋简体"/>
          <w:bCs/>
          <w:sz w:val="46"/>
          <w:szCs w:val="46"/>
        </w:rPr>
      </w:pPr>
      <w:r>
        <w:rPr>
          <w:rFonts w:hint="eastAsia" w:eastAsia="方正小标宋简体"/>
          <w:bCs/>
          <w:sz w:val="46"/>
          <w:szCs w:val="46"/>
        </w:rPr>
        <w:t>岳阳县</w:t>
      </w:r>
      <w:r>
        <w:rPr>
          <w:rFonts w:eastAsia="方正小标宋简体"/>
          <w:bCs/>
          <w:sz w:val="46"/>
          <w:szCs w:val="46"/>
        </w:rPr>
        <w:t>20</w:t>
      </w:r>
      <w:r>
        <w:rPr>
          <w:rFonts w:hint="eastAsia" w:eastAsia="方正小标宋简体"/>
          <w:bCs/>
          <w:sz w:val="46"/>
          <w:szCs w:val="46"/>
          <w:u w:val="single"/>
        </w:rPr>
        <w:t>2</w:t>
      </w:r>
      <w:r>
        <w:rPr>
          <w:rFonts w:hint="eastAsia" w:eastAsia="方正小标宋简体"/>
          <w:bCs/>
          <w:sz w:val="46"/>
          <w:szCs w:val="46"/>
          <w:u w:val="single"/>
          <w:lang w:val="en-US" w:eastAsia="zh-CN"/>
        </w:rPr>
        <w:t>3</w:t>
      </w:r>
      <w:r>
        <w:rPr>
          <w:rFonts w:hint="eastAsia" w:eastAsia="方正小标宋简体"/>
          <w:bCs/>
          <w:sz w:val="46"/>
          <w:szCs w:val="46"/>
        </w:rPr>
        <w:t>年度部门整体支出</w:t>
      </w:r>
    </w:p>
    <w:p>
      <w:pPr>
        <w:spacing w:line="800" w:lineRule="exact"/>
        <w:jc w:val="center"/>
        <w:rPr>
          <w:rFonts w:eastAsia="方正小标宋简体"/>
          <w:bCs/>
          <w:sz w:val="46"/>
          <w:szCs w:val="46"/>
        </w:rPr>
      </w:pPr>
      <w:r>
        <w:rPr>
          <w:rFonts w:hint="eastAsia" w:eastAsia="方正小标宋简体"/>
          <w:bCs/>
          <w:sz w:val="46"/>
          <w:szCs w:val="46"/>
        </w:rPr>
        <w:t>绩效评价自评报告</w:t>
      </w:r>
    </w:p>
    <w:p>
      <w:pPr>
        <w:rPr>
          <w:rFonts w:eastAsia="仿宋_GB2312"/>
          <w:b/>
          <w:sz w:val="32"/>
        </w:rPr>
      </w:pPr>
    </w:p>
    <w:p>
      <w:pPr>
        <w:rPr>
          <w:rFonts w:eastAsia="仿宋_GB2312"/>
          <w:b/>
          <w:sz w:val="32"/>
        </w:rPr>
      </w:pPr>
    </w:p>
    <w:p>
      <w:pPr>
        <w:rPr>
          <w:rFonts w:eastAsia="仿宋_GB2312"/>
          <w:b/>
          <w:sz w:val="32"/>
        </w:rPr>
      </w:pPr>
    </w:p>
    <w:p>
      <w:pPr>
        <w:spacing w:beforeLines="50" w:line="348" w:lineRule="auto"/>
        <w:ind w:firstLine="476" w:firstLineChars="150"/>
        <w:rPr>
          <w:rFonts w:eastAsia="仿宋_GB2312"/>
          <w:sz w:val="32"/>
          <w:szCs w:val="32"/>
          <w:u w:val="single"/>
        </w:rPr>
      </w:pPr>
      <w:r>
        <w:rPr>
          <w:rFonts w:hint="eastAsia" w:eastAsia="仿宋_GB2312"/>
          <w:sz w:val="32"/>
          <w:szCs w:val="32"/>
        </w:rPr>
        <w:t>部门</w:t>
      </w:r>
      <w:r>
        <w:rPr>
          <w:rFonts w:eastAsia="仿宋_GB2312"/>
          <w:sz w:val="32"/>
          <w:szCs w:val="32"/>
        </w:rPr>
        <w:t>(</w:t>
      </w:r>
      <w:r>
        <w:rPr>
          <w:rFonts w:hint="eastAsia" w:eastAsia="仿宋_GB2312"/>
          <w:sz w:val="32"/>
          <w:szCs w:val="32"/>
        </w:rPr>
        <w:t>单位</w:t>
      </w:r>
      <w:r>
        <w:rPr>
          <w:rFonts w:eastAsia="仿宋_GB2312"/>
          <w:sz w:val="32"/>
          <w:szCs w:val="32"/>
        </w:rPr>
        <w:t>)</w:t>
      </w:r>
      <w:r>
        <w:rPr>
          <w:rFonts w:hint="eastAsia" w:eastAsia="仿宋_GB2312"/>
          <w:sz w:val="32"/>
          <w:szCs w:val="32"/>
        </w:rPr>
        <w:t>名称：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hint="eastAsia" w:eastAsia="仿宋_GB2312"/>
          <w:sz w:val="32"/>
          <w:szCs w:val="32"/>
          <w:u w:val="single"/>
        </w:rPr>
        <w:t>岳阳县财政局</w:t>
      </w:r>
      <w:r>
        <w:rPr>
          <w:rFonts w:eastAsia="仿宋_GB2312"/>
          <w:sz w:val="32"/>
          <w:szCs w:val="32"/>
          <w:u w:val="single"/>
        </w:rPr>
        <w:t xml:space="preserve">                                </w:t>
      </w:r>
    </w:p>
    <w:p>
      <w:pPr>
        <w:spacing w:beforeLines="50" w:line="348" w:lineRule="auto"/>
        <w:ind w:firstLine="476" w:firstLineChars="150"/>
        <w:rPr>
          <w:rFonts w:eastAsia="仿宋_GB2312"/>
          <w:spacing w:val="20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预</w:t>
      </w:r>
      <w:r>
        <w:rPr>
          <w:rFonts w:eastAsia="仿宋_GB2312"/>
          <w:spacing w:val="30"/>
          <w:sz w:val="32"/>
          <w:szCs w:val="32"/>
        </w:rPr>
        <w:t xml:space="preserve"> </w:t>
      </w:r>
      <w:r>
        <w:rPr>
          <w:rFonts w:hint="eastAsia" w:eastAsia="仿宋_GB2312"/>
          <w:spacing w:val="30"/>
          <w:sz w:val="32"/>
          <w:szCs w:val="32"/>
        </w:rPr>
        <w:t>算</w:t>
      </w:r>
      <w:r>
        <w:rPr>
          <w:rFonts w:eastAsia="仿宋_GB2312"/>
          <w:spacing w:val="30"/>
          <w:sz w:val="32"/>
          <w:szCs w:val="32"/>
        </w:rPr>
        <w:t xml:space="preserve"> </w:t>
      </w:r>
      <w:r>
        <w:rPr>
          <w:rFonts w:hint="eastAsia" w:eastAsia="仿宋_GB2312"/>
          <w:spacing w:val="30"/>
          <w:sz w:val="32"/>
          <w:szCs w:val="32"/>
        </w:rPr>
        <w:t>编</w:t>
      </w:r>
      <w:r>
        <w:rPr>
          <w:rFonts w:eastAsia="仿宋_GB2312"/>
          <w:spacing w:val="30"/>
          <w:sz w:val="32"/>
          <w:szCs w:val="32"/>
        </w:rPr>
        <w:t xml:space="preserve"> </w:t>
      </w:r>
      <w:r>
        <w:rPr>
          <w:rFonts w:hint="eastAsia" w:eastAsia="仿宋_GB2312"/>
          <w:spacing w:val="30"/>
          <w:sz w:val="32"/>
          <w:szCs w:val="32"/>
        </w:rPr>
        <w:t>码：</w:t>
      </w:r>
      <w:r>
        <w:rPr>
          <w:rFonts w:eastAsia="仿宋_GB2312"/>
          <w:spacing w:val="20"/>
          <w:sz w:val="32"/>
          <w:szCs w:val="32"/>
          <w:u w:val="single"/>
        </w:rPr>
        <w:t xml:space="preserve"> </w:t>
      </w:r>
      <w:r>
        <w:rPr>
          <w:rFonts w:hint="eastAsia" w:eastAsia="仿宋_GB2312"/>
          <w:spacing w:val="20"/>
          <w:sz w:val="32"/>
          <w:szCs w:val="32"/>
          <w:u w:val="single"/>
        </w:rPr>
        <w:t xml:space="preserve"> 405001</w:t>
      </w:r>
      <w:r>
        <w:rPr>
          <w:rFonts w:eastAsia="仿宋_GB2312"/>
          <w:spacing w:val="20"/>
          <w:sz w:val="32"/>
          <w:szCs w:val="32"/>
          <w:u w:val="single"/>
        </w:rPr>
        <w:t xml:space="preserve">                          </w:t>
      </w:r>
    </w:p>
    <w:p>
      <w:pPr>
        <w:spacing w:beforeLines="50" w:line="348" w:lineRule="auto"/>
        <w:ind w:firstLine="476" w:firstLineChars="15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评价方式：部门（单位）绩效自评</w:t>
      </w:r>
    </w:p>
    <w:p>
      <w:pPr>
        <w:spacing w:beforeLines="50" w:line="348" w:lineRule="auto"/>
        <w:ind w:firstLine="476" w:firstLineChars="15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评价机构：部门（单位）评价组</w:t>
      </w:r>
      <w:r>
        <w:rPr>
          <w:rFonts w:eastAsia="仿宋_GB2312"/>
          <w:sz w:val="32"/>
          <w:szCs w:val="32"/>
        </w:rPr>
        <w:t xml:space="preserve">   </w:t>
      </w:r>
    </w:p>
    <w:p>
      <w:pPr>
        <w:spacing w:line="720" w:lineRule="exact"/>
        <w:ind w:firstLine="2188" w:firstLineChars="690"/>
        <w:rPr>
          <w:rFonts w:eastAsia="仿宋_GB2312"/>
          <w:sz w:val="32"/>
        </w:rPr>
      </w:pPr>
    </w:p>
    <w:p>
      <w:pPr>
        <w:spacing w:line="720" w:lineRule="exact"/>
        <w:ind w:firstLine="2188" w:firstLineChars="690"/>
        <w:rPr>
          <w:rFonts w:eastAsia="仿宋_GB2312"/>
          <w:sz w:val="32"/>
        </w:rPr>
      </w:pPr>
    </w:p>
    <w:p>
      <w:pPr>
        <w:spacing w:line="720" w:lineRule="exact"/>
        <w:ind w:firstLine="2188" w:firstLineChars="690"/>
        <w:rPr>
          <w:rFonts w:eastAsia="仿宋_GB2312"/>
          <w:sz w:val="32"/>
        </w:rPr>
      </w:pPr>
    </w:p>
    <w:p>
      <w:pPr>
        <w:spacing w:line="348" w:lineRule="auto"/>
        <w:jc w:val="center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报告日期：</w:t>
      </w:r>
      <w:r>
        <w:rPr>
          <w:rFonts w:eastAsia="仿宋_GB2312"/>
          <w:sz w:val="32"/>
        </w:rPr>
        <w:t xml:space="preserve"> </w:t>
      </w:r>
      <w:r>
        <w:rPr>
          <w:rFonts w:hint="eastAsia" w:eastAsia="仿宋_GB2312"/>
          <w:sz w:val="32"/>
        </w:rPr>
        <w:t>202</w:t>
      </w:r>
      <w:r>
        <w:rPr>
          <w:rFonts w:hint="eastAsia" w:eastAsia="仿宋_GB2312"/>
          <w:sz w:val="32"/>
          <w:lang w:val="en-US" w:eastAsia="zh-CN"/>
        </w:rPr>
        <w:t>4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 xml:space="preserve">年 </w:t>
      </w:r>
      <w:r>
        <w:rPr>
          <w:rFonts w:hint="eastAsia" w:eastAsia="仿宋_GB2312"/>
          <w:sz w:val="32"/>
          <w:lang w:val="en-US" w:eastAsia="zh-CN"/>
        </w:rPr>
        <w:t>6</w:t>
      </w:r>
      <w:r>
        <w:rPr>
          <w:rFonts w:hint="eastAsia" w:eastAsia="仿宋_GB2312"/>
          <w:sz w:val="32"/>
        </w:rPr>
        <w:t xml:space="preserve"> 月 2</w:t>
      </w:r>
      <w:r>
        <w:rPr>
          <w:rFonts w:hint="eastAsia" w:eastAsia="仿宋_GB2312"/>
          <w:sz w:val="32"/>
          <w:lang w:val="en-US" w:eastAsia="zh-CN"/>
        </w:rPr>
        <w:t>8</w:t>
      </w:r>
      <w:r>
        <w:rPr>
          <w:rFonts w:eastAsia="仿宋_GB2312"/>
          <w:sz w:val="32"/>
        </w:rPr>
        <w:t xml:space="preserve"> </w:t>
      </w:r>
      <w:r>
        <w:rPr>
          <w:rFonts w:hint="eastAsia" w:eastAsia="仿宋_GB2312"/>
          <w:sz w:val="32"/>
        </w:rPr>
        <w:t>日</w:t>
      </w:r>
    </w:p>
    <w:p>
      <w:pPr>
        <w:autoSpaceDN w:val="0"/>
        <w:jc w:val="center"/>
        <w:textAlignment w:val="center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</w:rPr>
        <w:t>岳阳县财政</w:t>
      </w:r>
      <w:r>
        <w:rPr>
          <w:rFonts w:hint="eastAsia" w:eastAsia="仿宋_GB2312"/>
          <w:sz w:val="32"/>
          <w:szCs w:val="32"/>
        </w:rPr>
        <w:t>局（制）</w:t>
      </w:r>
    </w:p>
    <w:p>
      <w:pPr>
        <w:widowControl/>
        <w:jc w:val="left"/>
        <w:rPr>
          <w:rFonts w:eastAsia="仿宋_GB2312"/>
          <w:sz w:val="32"/>
          <w:szCs w:val="32"/>
        </w:rPr>
        <w:sectPr>
          <w:pgSz w:w="11906" w:h="16838"/>
          <w:pgMar w:top="1588" w:right="1588" w:bottom="1588" w:left="1588" w:header="851" w:footer="992" w:gutter="0"/>
          <w:pgNumType w:start="1"/>
          <w:cols w:space="720" w:num="1"/>
          <w:docGrid w:type="linesAndChars" w:linePitch="602" w:charSpace="-782"/>
        </w:sectPr>
      </w:pPr>
    </w:p>
    <w:tbl>
      <w:tblPr>
        <w:tblStyle w:val="7"/>
        <w:tblW w:w="980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213"/>
        <w:gridCol w:w="72"/>
        <w:gridCol w:w="1054"/>
        <w:gridCol w:w="210"/>
        <w:gridCol w:w="1145"/>
        <w:gridCol w:w="272"/>
        <w:gridCol w:w="808"/>
        <w:gridCol w:w="1479"/>
        <w:gridCol w:w="226"/>
        <w:gridCol w:w="320"/>
        <w:gridCol w:w="135"/>
        <w:gridCol w:w="1080"/>
        <w:gridCol w:w="265"/>
        <w:gridCol w:w="139"/>
        <w:gridCol w:w="316"/>
        <w:gridCol w:w="6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0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一、部门（单位）基本概况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联系人</w:t>
            </w:r>
          </w:p>
        </w:tc>
        <w:tc>
          <w:tcPr>
            <w:tcW w:w="35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周劲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联络电话</w:t>
            </w:r>
          </w:p>
        </w:tc>
        <w:tc>
          <w:tcPr>
            <w:tcW w:w="310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7648013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人员编制</w:t>
            </w:r>
          </w:p>
        </w:tc>
        <w:tc>
          <w:tcPr>
            <w:tcW w:w="35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110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实有人数</w:t>
            </w:r>
          </w:p>
        </w:tc>
        <w:tc>
          <w:tcPr>
            <w:tcW w:w="310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110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  <w:jc w:val="center"/>
        </w:trPr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职能职责概述</w:t>
            </w:r>
          </w:p>
        </w:tc>
        <w:tc>
          <w:tcPr>
            <w:tcW w:w="8146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综合管理全县财政收支，主管财税政策，实施财政监督，参与对国民经济进行宏观调控。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  <w:jc w:val="center"/>
        </w:trPr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年度主要</w:t>
            </w:r>
          </w:p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工作内容</w:t>
            </w:r>
          </w:p>
        </w:tc>
        <w:tc>
          <w:tcPr>
            <w:tcW w:w="8146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1多管齐下，做大盘子，厚植财力基础；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2统筹整合，聚焦重点，营造竞进态势；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3兜牢底线，稳住基本，提升民生福祉；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4对标一流，深化改革，推进提质增效；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5党建引领，提升站位，坚守实心本色。</w:t>
            </w:r>
          </w:p>
          <w:p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pacing w:val="-6"/>
                <w:szCs w:val="21"/>
              </w:rPr>
              <w:t>202</w:t>
            </w:r>
            <w:r>
              <w:rPr>
                <w:rFonts w:hint="eastAsia" w:ascii="宋体" w:hAnsi="宋体" w:cs="仿宋_GB2312"/>
                <w:color w:val="000000"/>
                <w:spacing w:val="-6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仿宋_GB2312"/>
                <w:color w:val="000000"/>
                <w:spacing w:val="-6"/>
                <w:szCs w:val="21"/>
              </w:rPr>
              <w:t>年度部门（财政局）总体运行情况及取得的成绩</w:t>
            </w:r>
          </w:p>
        </w:tc>
        <w:tc>
          <w:tcPr>
            <w:tcW w:w="8146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60" w:lineRule="exact"/>
              <w:ind w:firstLine="415" w:firstLineChars="198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202</w:t>
            </w:r>
            <w:r>
              <w:rPr>
                <w:rFonts w:hint="eastAsia" w:ascii="宋体" w:hAnsi="宋体" w:cs="仿宋_GB2312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仿宋_GB2312"/>
                <w:szCs w:val="21"/>
              </w:rPr>
              <w:t>年，县财政局紧紧围绕县委、县政府决策部署，经济发展保持长期向好的态势，全面严格执行财政支出管控，全力推动做好“六稳”工作、落实“六保”任务，使</w:t>
            </w:r>
            <w:r>
              <w:rPr>
                <w:rFonts w:hint="eastAsia" w:ascii="宋体" w:hAnsi="宋体"/>
                <w:szCs w:val="21"/>
              </w:rPr>
              <w:t>财政实力不断壮大，服务发展、稳定大局的能力显著提升。</w:t>
            </w:r>
          </w:p>
          <w:p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0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二、部门（单位）收支情况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0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年度收入情况（万元）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机构名称</w:t>
            </w:r>
          </w:p>
        </w:tc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收入合计</w:t>
            </w:r>
          </w:p>
        </w:tc>
        <w:tc>
          <w:tcPr>
            <w:tcW w:w="7020" w:type="dxa"/>
            <w:gridSpan w:val="1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其中：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172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35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上年结转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公共财</w:t>
            </w:r>
          </w:p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政拨款</w:t>
            </w:r>
          </w:p>
        </w:tc>
        <w:tc>
          <w:tcPr>
            <w:tcW w:w="1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政府基金拨款</w:t>
            </w:r>
          </w:p>
        </w:tc>
        <w:tc>
          <w:tcPr>
            <w:tcW w:w="18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纳入专户管理的非税收入拨款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其他</w:t>
            </w:r>
          </w:p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收入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局机关及二级机构汇总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2892.80</w:t>
            </w:r>
          </w:p>
        </w:tc>
        <w:tc>
          <w:tcPr>
            <w:tcW w:w="135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14.18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2014.43</w:t>
            </w:r>
          </w:p>
        </w:tc>
        <w:tc>
          <w:tcPr>
            <w:tcW w:w="1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845.15</w:t>
            </w:r>
          </w:p>
        </w:tc>
        <w:tc>
          <w:tcPr>
            <w:tcW w:w="18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19.04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1、局机关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2892.80</w:t>
            </w:r>
          </w:p>
        </w:tc>
        <w:tc>
          <w:tcPr>
            <w:tcW w:w="135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14.18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2014.43</w:t>
            </w:r>
          </w:p>
        </w:tc>
        <w:tc>
          <w:tcPr>
            <w:tcW w:w="1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845.15</w:t>
            </w:r>
          </w:p>
        </w:tc>
        <w:tc>
          <w:tcPr>
            <w:tcW w:w="18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19.04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2、二级机构1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35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8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3、二级机构2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35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8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80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部门（单位）年度支出和结余情况（万元）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机构名称</w:t>
            </w:r>
          </w:p>
        </w:tc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支出合计</w:t>
            </w:r>
          </w:p>
        </w:tc>
        <w:tc>
          <w:tcPr>
            <w:tcW w:w="5675" w:type="dxa"/>
            <w:gridSpan w:val="9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其中：</w:t>
            </w:r>
          </w:p>
        </w:tc>
        <w:tc>
          <w:tcPr>
            <w:tcW w:w="1345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结余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基本支出</w:t>
            </w:r>
          </w:p>
        </w:tc>
        <w:tc>
          <w:tcPr>
            <w:tcW w:w="3240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其中：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项目支出</w:t>
            </w:r>
          </w:p>
        </w:tc>
        <w:tc>
          <w:tcPr>
            <w:tcW w:w="72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当年结余</w:t>
            </w:r>
          </w:p>
        </w:tc>
        <w:tc>
          <w:tcPr>
            <w:tcW w:w="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累计结余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人员支出</w:t>
            </w: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公用支出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局机关及二级机构汇总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2892.80</w:t>
            </w:r>
          </w:p>
        </w:tc>
        <w:tc>
          <w:tcPr>
            <w:tcW w:w="135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2073.82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1466.08</w:t>
            </w: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607.74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818.61</w:t>
            </w:r>
          </w:p>
        </w:tc>
        <w:tc>
          <w:tcPr>
            <w:tcW w:w="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0.37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1、局机关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2892.80</w:t>
            </w:r>
          </w:p>
        </w:tc>
        <w:tc>
          <w:tcPr>
            <w:tcW w:w="135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2073.82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1466.08</w:t>
            </w: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607.74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818.61</w:t>
            </w:r>
          </w:p>
        </w:tc>
        <w:tc>
          <w:tcPr>
            <w:tcW w:w="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0.37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2、二级机构1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35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3、二级机构2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35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机构名称</w:t>
            </w:r>
          </w:p>
        </w:tc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三公经费</w:t>
            </w:r>
          </w:p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合计</w:t>
            </w:r>
          </w:p>
        </w:tc>
        <w:tc>
          <w:tcPr>
            <w:tcW w:w="7020" w:type="dxa"/>
            <w:gridSpan w:val="1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其中：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5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公务接待费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公务用车运维费</w:t>
            </w: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公务用车购置费</w:t>
            </w:r>
          </w:p>
        </w:tc>
        <w:tc>
          <w:tcPr>
            <w:tcW w:w="24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因公出国费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局机关及二级机构汇总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0.35</w:t>
            </w:r>
          </w:p>
        </w:tc>
        <w:tc>
          <w:tcPr>
            <w:tcW w:w="135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0.35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24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1、局机关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0.35</w:t>
            </w:r>
          </w:p>
        </w:tc>
        <w:tc>
          <w:tcPr>
            <w:tcW w:w="135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0.35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24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宋体" w:hAnsi="宋体" w:cs="仿宋_GB2312"/>
                <w:szCs w:val="21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35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24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5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4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机构名称</w:t>
            </w:r>
          </w:p>
        </w:tc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固定资产</w:t>
            </w:r>
          </w:p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合计</w:t>
            </w:r>
          </w:p>
        </w:tc>
        <w:tc>
          <w:tcPr>
            <w:tcW w:w="6079" w:type="dxa"/>
            <w:gridSpan w:val="11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其中：</w:t>
            </w:r>
          </w:p>
        </w:tc>
        <w:tc>
          <w:tcPr>
            <w:tcW w:w="941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43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在用固定资产</w:t>
            </w:r>
          </w:p>
        </w:tc>
        <w:tc>
          <w:tcPr>
            <w:tcW w:w="364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出租固定资产</w:t>
            </w:r>
          </w:p>
        </w:tc>
        <w:tc>
          <w:tcPr>
            <w:tcW w:w="941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局机关及二级机构汇总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1916.62</w:t>
            </w:r>
          </w:p>
        </w:tc>
        <w:tc>
          <w:tcPr>
            <w:tcW w:w="243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1916.62</w:t>
            </w:r>
          </w:p>
        </w:tc>
        <w:tc>
          <w:tcPr>
            <w:tcW w:w="364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宋体" w:hAnsi="宋体" w:cs="仿宋_GB2312"/>
                <w:szCs w:val="21"/>
              </w:rPr>
            </w:pPr>
            <w:r>
              <w:rPr>
                <w:rFonts w:hint="eastAsia" w:ascii="宋体" w:hAnsi="宋体" w:cs="仿宋_GB2312"/>
                <w:szCs w:val="21"/>
              </w:rPr>
              <w:t>1、局机关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1916.62</w:t>
            </w:r>
          </w:p>
        </w:tc>
        <w:tc>
          <w:tcPr>
            <w:tcW w:w="243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1916.62</w:t>
            </w:r>
          </w:p>
        </w:tc>
        <w:tc>
          <w:tcPr>
            <w:tcW w:w="364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43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64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43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64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0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三、部门（单位）整体支出绩效自评情况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4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整体支出绩效定性目标及实施计划完成情况</w:t>
            </w:r>
          </w:p>
        </w:tc>
        <w:tc>
          <w:tcPr>
            <w:tcW w:w="37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预期目标</w:t>
            </w:r>
          </w:p>
        </w:tc>
        <w:tc>
          <w:tcPr>
            <w:tcW w:w="458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实际完成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37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1多管齐下，做大盘子，厚植财力基础；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2统筹整合，聚焦重点，营造竞进态势；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3兜牢底线，稳住基本，提升民生福祉；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4对标一流，深化改革，推进提质增效；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5党建引领，提升站位，坚守实心本色。</w:t>
            </w:r>
          </w:p>
          <w:p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458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szCs w:val="21"/>
              </w:rPr>
              <w:t>年，县财政局紧紧围绕县委、县政府决策部署，经济发展保持长期向好的态势，全面严格执行财政支出管控，全力推动做好“六稳”工作、落实“六保”任务，使财政实力不断壮大，服务发展、稳定大局的能力显著提升。</w:t>
            </w:r>
          </w:p>
          <w:p>
            <w:pPr>
              <w:autoSpaceDN w:val="0"/>
              <w:spacing w:line="320" w:lineRule="exact"/>
              <w:jc w:val="both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整体支出</w:t>
            </w:r>
          </w:p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绩效定量目标及实施计划完成情况</w:t>
            </w:r>
          </w:p>
        </w:tc>
        <w:tc>
          <w:tcPr>
            <w:tcW w:w="29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评价内容</w:t>
            </w:r>
          </w:p>
        </w:tc>
        <w:tc>
          <w:tcPr>
            <w:tcW w:w="2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绩效目标</w:t>
            </w:r>
          </w:p>
        </w:tc>
        <w:tc>
          <w:tcPr>
            <w:tcW w:w="25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549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产出目标</w:t>
            </w:r>
          </w:p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（部门工作实绩，包含上级部门和市委市政府布置的重点工作、实事任务等，根据部门实际进行调整细化）</w:t>
            </w:r>
          </w:p>
        </w:tc>
        <w:tc>
          <w:tcPr>
            <w:tcW w:w="14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质量指标</w:t>
            </w:r>
          </w:p>
        </w:tc>
        <w:tc>
          <w:tcPr>
            <w:tcW w:w="2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财政供养人员控制率100%</w:t>
            </w:r>
          </w:p>
        </w:tc>
        <w:tc>
          <w:tcPr>
            <w:tcW w:w="25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已完成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54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2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三公经费控制率100%</w:t>
            </w:r>
          </w:p>
        </w:tc>
        <w:tc>
          <w:tcPr>
            <w:tcW w:w="25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已完成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54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2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信息一体化、集中支付系统正常运行率100%</w:t>
            </w:r>
          </w:p>
        </w:tc>
        <w:tc>
          <w:tcPr>
            <w:tcW w:w="25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98%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54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数量指标</w:t>
            </w:r>
          </w:p>
        </w:tc>
        <w:tc>
          <w:tcPr>
            <w:tcW w:w="2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“三公经费”变动率≤0</w:t>
            </w:r>
          </w:p>
        </w:tc>
        <w:tc>
          <w:tcPr>
            <w:tcW w:w="25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已完成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54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2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行政事业单位使用电子票据率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&gt;98%</w:t>
            </w:r>
          </w:p>
        </w:tc>
        <w:tc>
          <w:tcPr>
            <w:tcW w:w="25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54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2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政府采购执行率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&gt;</w:t>
            </w:r>
            <w:r>
              <w:rPr>
                <w:rFonts w:hint="eastAsia" w:ascii="宋体" w:hAnsi="宋体"/>
                <w:szCs w:val="21"/>
              </w:rPr>
              <w:t>95%</w:t>
            </w:r>
          </w:p>
        </w:tc>
        <w:tc>
          <w:tcPr>
            <w:tcW w:w="25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54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时效指标</w:t>
            </w:r>
          </w:p>
        </w:tc>
        <w:tc>
          <w:tcPr>
            <w:tcW w:w="2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经费按时落实到位</w:t>
            </w:r>
          </w:p>
        </w:tc>
        <w:tc>
          <w:tcPr>
            <w:tcW w:w="25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落实到位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54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2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绩效自评按期完成</w:t>
            </w:r>
          </w:p>
        </w:tc>
        <w:tc>
          <w:tcPr>
            <w:tcW w:w="25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按期完成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54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2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54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成本指标</w:t>
            </w:r>
          </w:p>
        </w:tc>
        <w:tc>
          <w:tcPr>
            <w:tcW w:w="2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严格将开支控制在预算成本内</w:t>
            </w:r>
          </w:p>
        </w:tc>
        <w:tc>
          <w:tcPr>
            <w:tcW w:w="25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54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2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资金使用合规</w:t>
            </w:r>
          </w:p>
        </w:tc>
        <w:tc>
          <w:tcPr>
            <w:tcW w:w="25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54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2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549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效益目标</w:t>
            </w:r>
          </w:p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（预期实现的效益）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社会效益</w:t>
            </w:r>
          </w:p>
        </w:tc>
        <w:tc>
          <w:tcPr>
            <w:tcW w:w="2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预算单位集中支付覆盖率100%</w:t>
            </w:r>
          </w:p>
        </w:tc>
        <w:tc>
          <w:tcPr>
            <w:tcW w:w="25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已完成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54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经济效益</w:t>
            </w:r>
          </w:p>
        </w:tc>
        <w:tc>
          <w:tcPr>
            <w:tcW w:w="2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强化收入组织调度，抓好重点税源征管</w:t>
            </w:r>
          </w:p>
        </w:tc>
        <w:tc>
          <w:tcPr>
            <w:tcW w:w="25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已完成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54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生态效益</w:t>
            </w:r>
          </w:p>
        </w:tc>
        <w:tc>
          <w:tcPr>
            <w:tcW w:w="2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支持生态保护</w:t>
            </w:r>
          </w:p>
        </w:tc>
        <w:tc>
          <w:tcPr>
            <w:tcW w:w="25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积极整合资金，支持污染防治攻坚战战略。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54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社会公众或服务对象满意度</w:t>
            </w:r>
          </w:p>
        </w:tc>
        <w:tc>
          <w:tcPr>
            <w:tcW w:w="2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预算单位满意度95%</w:t>
            </w:r>
          </w:p>
        </w:tc>
        <w:tc>
          <w:tcPr>
            <w:tcW w:w="25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绩效自评综合得分</w:t>
            </w:r>
          </w:p>
        </w:tc>
        <w:tc>
          <w:tcPr>
            <w:tcW w:w="681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9</w:t>
            </w: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评价等次</w:t>
            </w:r>
          </w:p>
        </w:tc>
        <w:tc>
          <w:tcPr>
            <w:tcW w:w="681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优秀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0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黑体"/>
                <w:color w:val="000000"/>
                <w:szCs w:val="21"/>
              </w:rPr>
              <w:t>四、评价人员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姓  名</w:t>
            </w:r>
          </w:p>
        </w:tc>
        <w:tc>
          <w:tcPr>
            <w:tcW w:w="35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职务/职称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单  位</w:t>
            </w:r>
          </w:p>
        </w:tc>
        <w:tc>
          <w:tcPr>
            <w:tcW w:w="310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签  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龙新献</w:t>
            </w:r>
          </w:p>
        </w:tc>
        <w:tc>
          <w:tcPr>
            <w:tcW w:w="35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常务副局长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岳阳县财政局</w:t>
            </w:r>
          </w:p>
        </w:tc>
        <w:tc>
          <w:tcPr>
            <w:tcW w:w="310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default" w:ascii="宋体" w:hAnsi="宋体" w:eastAsia="宋体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  <w:lang w:val="en-US" w:eastAsia="zh-CN"/>
              </w:rPr>
              <w:t>周劲</w:t>
            </w:r>
          </w:p>
        </w:tc>
        <w:tc>
          <w:tcPr>
            <w:tcW w:w="35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财计股长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岳阳县财政局</w:t>
            </w:r>
          </w:p>
        </w:tc>
        <w:tc>
          <w:tcPr>
            <w:tcW w:w="310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刘雨露</w:t>
            </w:r>
          </w:p>
        </w:tc>
        <w:tc>
          <w:tcPr>
            <w:tcW w:w="35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会计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岳阳县财政局</w:t>
            </w:r>
          </w:p>
        </w:tc>
        <w:tc>
          <w:tcPr>
            <w:tcW w:w="310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梁  袁</w:t>
            </w:r>
          </w:p>
        </w:tc>
        <w:tc>
          <w:tcPr>
            <w:tcW w:w="35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出纳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岳阳县财政局</w:t>
            </w:r>
          </w:p>
        </w:tc>
        <w:tc>
          <w:tcPr>
            <w:tcW w:w="310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2" w:hRule="atLeast"/>
          <w:jc w:val="center"/>
        </w:trPr>
        <w:tc>
          <w:tcPr>
            <w:tcW w:w="980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评价组组长（签字）：</w:t>
            </w:r>
          </w:p>
          <w:p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  <w:p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 xml:space="preserve">                                                             </w:t>
            </w:r>
          </w:p>
          <w:p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 xml:space="preserve">                          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2" w:hRule="atLeast"/>
          <w:jc w:val="center"/>
        </w:trPr>
        <w:tc>
          <w:tcPr>
            <w:tcW w:w="980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部门（单位）意见：</w:t>
            </w:r>
          </w:p>
          <w:p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</w:p>
          <w:p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 xml:space="preserve">                                        部门（单位）负责人（签章）：</w:t>
            </w:r>
          </w:p>
          <w:p>
            <w:pPr>
              <w:autoSpaceDN w:val="0"/>
              <w:spacing w:line="320" w:lineRule="exact"/>
              <w:jc w:val="left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 xml:space="preserve">                                             年    月    日</w:t>
            </w:r>
          </w:p>
        </w:tc>
      </w:tr>
    </w:tbl>
    <w:p>
      <w:pPr>
        <w:rPr>
          <w:rFonts w:ascii="宋体" w:hAnsi="宋体" w:cs="仿宋_GB2312"/>
          <w:bCs/>
          <w:szCs w:val="21"/>
        </w:rPr>
      </w:pPr>
      <w:r>
        <w:rPr>
          <w:rFonts w:hint="eastAsia" w:ascii="宋体" w:hAnsi="宋体" w:cs="仿宋_GB2312"/>
          <w:bCs/>
          <w:szCs w:val="21"/>
        </w:rPr>
        <w:t>填报人（签名）：刘雨露</w:t>
      </w:r>
      <w:r>
        <w:rPr>
          <w:rFonts w:ascii="宋体" w:hAnsi="宋体" w:cs="仿宋_GB2312"/>
          <w:bCs/>
          <w:szCs w:val="21"/>
        </w:rPr>
        <w:t xml:space="preserve">                          </w:t>
      </w:r>
      <w:r>
        <w:rPr>
          <w:rFonts w:hint="eastAsia" w:ascii="宋体" w:hAnsi="宋体" w:cs="仿宋_GB2312"/>
          <w:bCs/>
          <w:szCs w:val="21"/>
        </w:rPr>
        <w:t>联系电话：7648013</w:t>
      </w:r>
    </w:p>
    <w:tbl>
      <w:tblPr>
        <w:tblStyle w:val="7"/>
        <w:tblW w:w="955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2998" w:hRule="atLeast"/>
          <w:jc w:val="center"/>
        </w:trPr>
        <w:tc>
          <w:tcPr>
            <w:tcW w:w="9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黑体" w:hAnsi="黑体" w:eastAsia="黑体" w:cs="黑体"/>
                <w:b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  <w:t>五、评价报告综述（文字部分）</w:t>
            </w:r>
          </w:p>
          <w:p>
            <w:pPr>
              <w:spacing w:line="440" w:lineRule="exact"/>
              <w:ind w:firstLine="600" w:firstLineChars="200"/>
              <w:rPr>
                <w:rFonts w:eastAsia="仿宋_GB2312"/>
                <w:sz w:val="30"/>
                <w:szCs w:val="30"/>
              </w:rPr>
            </w:pP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一、部门</w:t>
            </w:r>
            <w:r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  <w:t>(</w:t>
            </w: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单位</w:t>
            </w:r>
            <w:r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  <w:t>)</w:t>
            </w: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基本情况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 xml:space="preserve"> （一）主要职能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1.组织贯彻执行国家财税方针政策，拟订和执行全县财政政策、改革方案，指导全县财政工作。起草财政、财务、会计管理等规章草案，制定和执行财政、财务、会计管理的制度及办法。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2.承担县本级各项财政收支管理的责任。负责编制年度县本级预算决算草案并组织执行，组织制订县本级经费开支标准、定额，审核批复部门（单位）的年度预决算。完善转移支付制度，推进财政体制改革。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3.负责政府非税收入管理、政府性基金管理，按规定管理行政事业性收费。组织制定国库管理制度、国库集中收付制度，指导和监督县本级国库业务，按规定开展国库现金管理工作。负责制定政府采购制度并实施监督管理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4.贯彻执行国家税收法律、法规和税收调整政策，反馈政策执行情况，及时提出调整方案并组织实施。制定全县行政事业单位国有资产管理规章制度，按规定管理行政事业单位国有资产。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5.负责办理和监督县财政的经济发展支出、县级政府性投资项目的财政拨款，参与拟订县建设投资的有关政策，组织实施基本建设财务制度，负责有关政策性补贴和专项储备资金财政管理工作。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6.贯彻执行政府内外债务管理的政策，防范财政风险。负责统一管理县政府外债，制定基本管理制度。按规定管理外国政府和国际金融组织贷（赠）款。承担财税领域交流与合作的具体工作。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7.负责管理全县的会计工作，监督和规范会计行为，组织实施国家统一的会计制度。监督检查财税法律法规、政策的执行情况，反映财政收支管理中的重大问题，提出加强财政管理的政策和建议。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8.承办县委、县人民政府交办的其他事项。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（二）机构设置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财政局共设办公室、法规股、信息股、人事股、工会、综合规划股、预算股、 绩效评价股、国库股、教科文股、行政政法股、经济建设股、社会保障股、农业农村股、财计股、企业股、金融债务股、对外经济贸易股、财政投资评审中心、会计股、自然资然股、政府采购办、国资股、财监股、等股室；下辖县财政事务管理中心、县乡镇财政服务中心、县财政国库集中支付中心、县国有资产服务中心4个副科级事业单位。我局编制</w:t>
            </w: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  <w:lang w:val="en-US" w:eastAsia="zh-CN"/>
              </w:rPr>
              <w:t>92</w:t>
            </w: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名，其中工勤编制1名。我局年末实有人数</w:t>
            </w: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  <w:lang w:val="en-US" w:eastAsia="zh-CN"/>
              </w:rPr>
              <w:t>167</w:t>
            </w: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人，其中，在职</w:t>
            </w: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  <w:lang w:val="en-US" w:eastAsia="zh-CN"/>
              </w:rPr>
              <w:t>110</w:t>
            </w: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人，离退休</w:t>
            </w: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  <w:lang w:val="en-US" w:eastAsia="zh-CN"/>
              </w:rPr>
              <w:t>57</w:t>
            </w: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人。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二、一般公共预算支出情况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（一）基本支出情况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2023年县财政局基本支出共计2073.82万元，主要用于人员支出1466.08万元，公用支出607.74万元，其中“三公”经费合计0.35万元，包括公务接待费0.35万元。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（二）项目支出情况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1.2023年财政预算安排县财政局保运转资金202万元，主要是全县网络维护等；2.保运转资金实际使用818.61万元；3.保运转资金按实际情况实行了专款专用，单位分管领导对资金的使用进行全程监督，保证资金使用的合规性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三、政府性基金预算支出情况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  <w:lang w:eastAsia="zh-CN"/>
              </w:rPr>
              <w:t>2023年</w:t>
            </w: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度政府性基金预算支出</w:t>
            </w: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  <w:lang w:val="en-US" w:eastAsia="zh-CN"/>
              </w:rPr>
              <w:t>845.15</w:t>
            </w: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万元，其中基本支出</w:t>
            </w: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  <w:lang w:val="en-US" w:eastAsia="zh-CN"/>
              </w:rPr>
              <w:t>26.54</w:t>
            </w: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万元，项目支出</w:t>
            </w: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  <w:lang w:val="en-US" w:eastAsia="zh-CN"/>
              </w:rPr>
              <w:t>818.61</w:t>
            </w: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万元</w:t>
            </w: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  <w:lang w:eastAsia="zh-CN"/>
              </w:rPr>
              <w:t>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四、国有资本经营预算支出情况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无。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五、社会保险基金预算支出情况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无。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六、部门整体支出绩效情况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1.执行了预算政策要求。我局工作经费安排严格按照年初预算来执行，有效防止了超预算；认真学习财经法规，严格执行财经纪律，防止了违法违纪行为的发生；认真落实了有关资金要求，主动及时上缴年度结转结余资金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2.保障了机关有效运转。严格按照厉行节约的要求，精打细算，规范机关事务管理工作，提高服务质量，降低运行成本，合理配置，提高保障能力，保障干部待遇按政策发放落实。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3.加强了干部队伍建设。我局党组认真贯彻落实从严治党各项要求，严抓工作纪律。不定期开展党风廉政建设专题党课活动，深化推进党风廉政建设和反腐败工作纵深发展。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4.强化了财政职能工作。顺利推进税制改革、预算改革、PPP工作、政府购买服务等。积极化解财政风险，强化债务风险。进一步摸清全县债务情况，规范地方政府债务管理，综合债务率逐年下降；积极强化财政监管，提升了管理水平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七、存在的问题及原因分析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1.预算监督管理机制还有待加强；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2.财务工作是一个单位的命脉，创新机制正在逐步加强，要求财务工作水平越来越高。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八、下一步改进措施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1.进一步完善单位预算制度，和各个财务活动的工作流程，做到事前、事中、事后的统一控制，尽量减少非生产性开支。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2.充实财务人员，加强财务人员培训，保持积极向上的工作态度。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3.综合以上各项指标，财务管理健全规范，没有发生违法违规现象，建议在以后的工作中加强预算管理，严格控制各项经费的开支，提高经费的使用效率。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九、部门整体支出绩效自评结果拟应用和公开情况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财政局2023年度部门整体支出绩效自评得分99分，自评结果：优秀。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十、其他需要说明的情况</w:t>
            </w:r>
          </w:p>
          <w:p>
            <w:pPr>
              <w:pStyle w:val="6"/>
              <w:widowControl/>
              <w:spacing w:before="0" w:beforeAutospacing="0" w:after="0" w:afterAutospacing="0" w:line="560" w:lineRule="exact"/>
              <w:ind w:firstLine="560" w:firstLineChars="200"/>
              <w:jc w:val="both"/>
              <w:rPr>
                <w:rFonts w:ascii="仿宋" w:hAnsi="仿宋" w:eastAsia="仿宋" w:cs="楷体"/>
                <w:bCs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楷体"/>
                <w:bCs/>
                <w:kern w:val="2"/>
                <w:sz w:val="28"/>
                <w:szCs w:val="28"/>
              </w:rPr>
              <w:t>无。</w:t>
            </w:r>
          </w:p>
          <w:p>
            <w:pPr>
              <w:spacing w:line="560" w:lineRule="exact"/>
              <w:ind w:firstLine="560" w:firstLineChars="200"/>
              <w:rPr>
                <w:rFonts w:eastAsia="楷体_GB2312"/>
                <w:bCs/>
                <w:sz w:val="28"/>
                <w:szCs w:val="28"/>
              </w:rPr>
            </w:pPr>
          </w:p>
        </w:tc>
      </w:tr>
    </w:tbl>
    <w:p>
      <w:pPr>
        <w:spacing w:line="348" w:lineRule="auto"/>
        <w:rPr>
          <w:rFonts w:eastAsia="楷体_GB2312"/>
          <w:bCs/>
          <w:sz w:val="28"/>
          <w:szCs w:val="28"/>
        </w:rPr>
      </w:pPr>
    </w:p>
    <w:p>
      <w:pPr>
        <w:spacing w:line="348" w:lineRule="auto"/>
        <w:rPr>
          <w:rFonts w:ascii="仿宋_GB2312" w:hAnsi="宋体" w:eastAsia="仿宋_GB2312" w:cs="宋体"/>
          <w:kern w:val="0"/>
          <w:szCs w:val="21"/>
        </w:rPr>
      </w:pPr>
    </w:p>
    <w:sectPr>
      <w:pgSz w:w="11906" w:h="16838"/>
      <w:pgMar w:top="1418" w:right="1361" w:bottom="113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F"/>
    <w:multiLevelType w:val="singleLevel"/>
    <w:tmpl w:val="FFFFFF7F"/>
    <w:lvl w:ilvl="0" w:tentative="0">
      <w:start w:val="1"/>
      <w:numFmt w:val="decimal"/>
      <w:pStyle w:val="17"/>
      <w:lvlText w:val="%1."/>
      <w:lvlJc w:val="left"/>
      <w:pPr>
        <w:tabs>
          <w:tab w:val="left" w:pos="780"/>
        </w:tabs>
        <w:ind w:left="7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xMGVmZWM1M2Q3ZDAxNGVlNjg3MTI2NjFhZWZkOWEifQ=="/>
  </w:docVars>
  <w:rsids>
    <w:rsidRoot w:val="00C854FD"/>
    <w:rsid w:val="00001507"/>
    <w:rsid w:val="0000241F"/>
    <w:rsid w:val="000056A6"/>
    <w:rsid w:val="00005A3B"/>
    <w:rsid w:val="0000610C"/>
    <w:rsid w:val="00014921"/>
    <w:rsid w:val="0005701C"/>
    <w:rsid w:val="000619DF"/>
    <w:rsid w:val="00073AAF"/>
    <w:rsid w:val="00090417"/>
    <w:rsid w:val="00093B20"/>
    <w:rsid w:val="000974DE"/>
    <w:rsid w:val="000A0E5C"/>
    <w:rsid w:val="000A73A3"/>
    <w:rsid w:val="000B4BEB"/>
    <w:rsid w:val="000B799B"/>
    <w:rsid w:val="000B7DCB"/>
    <w:rsid w:val="00100175"/>
    <w:rsid w:val="00104F5D"/>
    <w:rsid w:val="00107CC6"/>
    <w:rsid w:val="00114E7A"/>
    <w:rsid w:val="00122C2E"/>
    <w:rsid w:val="0014350A"/>
    <w:rsid w:val="001442A2"/>
    <w:rsid w:val="0014690C"/>
    <w:rsid w:val="00146C23"/>
    <w:rsid w:val="00151B82"/>
    <w:rsid w:val="00157862"/>
    <w:rsid w:val="001657B6"/>
    <w:rsid w:val="00165E89"/>
    <w:rsid w:val="0017192D"/>
    <w:rsid w:val="0019312E"/>
    <w:rsid w:val="001A21D5"/>
    <w:rsid w:val="001A709B"/>
    <w:rsid w:val="001B0CF4"/>
    <w:rsid w:val="001B1869"/>
    <w:rsid w:val="001B2F7F"/>
    <w:rsid w:val="001B4EA7"/>
    <w:rsid w:val="001C4AD7"/>
    <w:rsid w:val="001C5954"/>
    <w:rsid w:val="001E26FB"/>
    <w:rsid w:val="001F2104"/>
    <w:rsid w:val="00226A28"/>
    <w:rsid w:val="002318F0"/>
    <w:rsid w:val="00235B3A"/>
    <w:rsid w:val="00240F9A"/>
    <w:rsid w:val="00242262"/>
    <w:rsid w:val="002471BE"/>
    <w:rsid w:val="002525C4"/>
    <w:rsid w:val="00253B1F"/>
    <w:rsid w:val="00254CF8"/>
    <w:rsid w:val="00255404"/>
    <w:rsid w:val="00257206"/>
    <w:rsid w:val="00277C20"/>
    <w:rsid w:val="00292AC1"/>
    <w:rsid w:val="0029605B"/>
    <w:rsid w:val="002969D6"/>
    <w:rsid w:val="002B26F1"/>
    <w:rsid w:val="002B569D"/>
    <w:rsid w:val="002B7EF4"/>
    <w:rsid w:val="002C4D24"/>
    <w:rsid w:val="002C714A"/>
    <w:rsid w:val="002D5840"/>
    <w:rsid w:val="00314D45"/>
    <w:rsid w:val="00315C29"/>
    <w:rsid w:val="00321777"/>
    <w:rsid w:val="00321D2B"/>
    <w:rsid w:val="0033659F"/>
    <w:rsid w:val="00337248"/>
    <w:rsid w:val="00351AD3"/>
    <w:rsid w:val="00354479"/>
    <w:rsid w:val="00356458"/>
    <w:rsid w:val="0039290C"/>
    <w:rsid w:val="00392F62"/>
    <w:rsid w:val="00393CBF"/>
    <w:rsid w:val="00394BC2"/>
    <w:rsid w:val="00397BF3"/>
    <w:rsid w:val="003A2363"/>
    <w:rsid w:val="003A2FC5"/>
    <w:rsid w:val="003B7876"/>
    <w:rsid w:val="003E4F5E"/>
    <w:rsid w:val="003F22A0"/>
    <w:rsid w:val="004036B5"/>
    <w:rsid w:val="004222D1"/>
    <w:rsid w:val="00422E14"/>
    <w:rsid w:val="00430153"/>
    <w:rsid w:val="00432C79"/>
    <w:rsid w:val="004503BD"/>
    <w:rsid w:val="00461395"/>
    <w:rsid w:val="00477933"/>
    <w:rsid w:val="004930B4"/>
    <w:rsid w:val="004A44EA"/>
    <w:rsid w:val="004A51DC"/>
    <w:rsid w:val="004A671C"/>
    <w:rsid w:val="004C73DE"/>
    <w:rsid w:val="004D7BD9"/>
    <w:rsid w:val="004E0A8E"/>
    <w:rsid w:val="004E3BE9"/>
    <w:rsid w:val="004F4A9C"/>
    <w:rsid w:val="005027AD"/>
    <w:rsid w:val="005072C9"/>
    <w:rsid w:val="00513037"/>
    <w:rsid w:val="005210E6"/>
    <w:rsid w:val="00530E15"/>
    <w:rsid w:val="005314BA"/>
    <w:rsid w:val="00531B46"/>
    <w:rsid w:val="00541111"/>
    <w:rsid w:val="005411BA"/>
    <w:rsid w:val="005422E5"/>
    <w:rsid w:val="0054679D"/>
    <w:rsid w:val="005477E5"/>
    <w:rsid w:val="0056548E"/>
    <w:rsid w:val="00566F17"/>
    <w:rsid w:val="005865B1"/>
    <w:rsid w:val="005A3532"/>
    <w:rsid w:val="005B4076"/>
    <w:rsid w:val="005C0CE8"/>
    <w:rsid w:val="005C50B2"/>
    <w:rsid w:val="005C68D7"/>
    <w:rsid w:val="005D0179"/>
    <w:rsid w:val="005D4BAB"/>
    <w:rsid w:val="005E2F81"/>
    <w:rsid w:val="005F6DB6"/>
    <w:rsid w:val="00601535"/>
    <w:rsid w:val="00607401"/>
    <w:rsid w:val="006320B1"/>
    <w:rsid w:val="0064544F"/>
    <w:rsid w:val="00664E76"/>
    <w:rsid w:val="006841C9"/>
    <w:rsid w:val="00684E4B"/>
    <w:rsid w:val="006931AD"/>
    <w:rsid w:val="006937E0"/>
    <w:rsid w:val="00696545"/>
    <w:rsid w:val="006A403C"/>
    <w:rsid w:val="006A5D82"/>
    <w:rsid w:val="006B6330"/>
    <w:rsid w:val="006D65AD"/>
    <w:rsid w:val="006E7307"/>
    <w:rsid w:val="006F5735"/>
    <w:rsid w:val="006F5FD4"/>
    <w:rsid w:val="00701731"/>
    <w:rsid w:val="00704E01"/>
    <w:rsid w:val="007225D2"/>
    <w:rsid w:val="00731385"/>
    <w:rsid w:val="007337B9"/>
    <w:rsid w:val="00735258"/>
    <w:rsid w:val="00742DAE"/>
    <w:rsid w:val="007505D1"/>
    <w:rsid w:val="00764B34"/>
    <w:rsid w:val="00774D83"/>
    <w:rsid w:val="007829F0"/>
    <w:rsid w:val="007865A2"/>
    <w:rsid w:val="007A49D4"/>
    <w:rsid w:val="007A4ACF"/>
    <w:rsid w:val="007B7EC1"/>
    <w:rsid w:val="007C77EE"/>
    <w:rsid w:val="007D5B9F"/>
    <w:rsid w:val="007E1392"/>
    <w:rsid w:val="007E2384"/>
    <w:rsid w:val="007E6513"/>
    <w:rsid w:val="007F1355"/>
    <w:rsid w:val="007F487F"/>
    <w:rsid w:val="007F4C75"/>
    <w:rsid w:val="00800777"/>
    <w:rsid w:val="00815FBF"/>
    <w:rsid w:val="00833E6A"/>
    <w:rsid w:val="00841CD0"/>
    <w:rsid w:val="00847D60"/>
    <w:rsid w:val="00860AFD"/>
    <w:rsid w:val="00865D77"/>
    <w:rsid w:val="008A2E6B"/>
    <w:rsid w:val="008A7515"/>
    <w:rsid w:val="008B5604"/>
    <w:rsid w:val="008C039F"/>
    <w:rsid w:val="008E1F76"/>
    <w:rsid w:val="008E57E1"/>
    <w:rsid w:val="009006A1"/>
    <w:rsid w:val="009371D0"/>
    <w:rsid w:val="00937EDC"/>
    <w:rsid w:val="00956508"/>
    <w:rsid w:val="00962EF0"/>
    <w:rsid w:val="00972941"/>
    <w:rsid w:val="0097320B"/>
    <w:rsid w:val="00977F7F"/>
    <w:rsid w:val="009815AA"/>
    <w:rsid w:val="00982CDC"/>
    <w:rsid w:val="009863CE"/>
    <w:rsid w:val="00995ED0"/>
    <w:rsid w:val="00996441"/>
    <w:rsid w:val="009A298D"/>
    <w:rsid w:val="009A30B6"/>
    <w:rsid w:val="009B18DA"/>
    <w:rsid w:val="009B217B"/>
    <w:rsid w:val="009B3B24"/>
    <w:rsid w:val="009B50F2"/>
    <w:rsid w:val="009C1945"/>
    <w:rsid w:val="009C7D29"/>
    <w:rsid w:val="009D2E85"/>
    <w:rsid w:val="009D5C2C"/>
    <w:rsid w:val="009D72EA"/>
    <w:rsid w:val="009E5A8A"/>
    <w:rsid w:val="009F3479"/>
    <w:rsid w:val="00A0195B"/>
    <w:rsid w:val="00A13259"/>
    <w:rsid w:val="00A145BE"/>
    <w:rsid w:val="00A16D05"/>
    <w:rsid w:val="00A205C2"/>
    <w:rsid w:val="00A30E83"/>
    <w:rsid w:val="00A44169"/>
    <w:rsid w:val="00A4501D"/>
    <w:rsid w:val="00A51AA2"/>
    <w:rsid w:val="00A54BCA"/>
    <w:rsid w:val="00A61FD7"/>
    <w:rsid w:val="00A76673"/>
    <w:rsid w:val="00A87BCE"/>
    <w:rsid w:val="00A94900"/>
    <w:rsid w:val="00AA3FFE"/>
    <w:rsid w:val="00AA565C"/>
    <w:rsid w:val="00AA68AE"/>
    <w:rsid w:val="00AB7085"/>
    <w:rsid w:val="00AC1F0E"/>
    <w:rsid w:val="00AC3C5B"/>
    <w:rsid w:val="00AD4448"/>
    <w:rsid w:val="00AE1B6C"/>
    <w:rsid w:val="00AF11BE"/>
    <w:rsid w:val="00AF38EC"/>
    <w:rsid w:val="00AF62BF"/>
    <w:rsid w:val="00B0185B"/>
    <w:rsid w:val="00B113ED"/>
    <w:rsid w:val="00B161A4"/>
    <w:rsid w:val="00B41813"/>
    <w:rsid w:val="00B427C3"/>
    <w:rsid w:val="00B43845"/>
    <w:rsid w:val="00B502D4"/>
    <w:rsid w:val="00B536F0"/>
    <w:rsid w:val="00B9518E"/>
    <w:rsid w:val="00BA392F"/>
    <w:rsid w:val="00BB1C78"/>
    <w:rsid w:val="00BB378C"/>
    <w:rsid w:val="00BB3C71"/>
    <w:rsid w:val="00BB6CF4"/>
    <w:rsid w:val="00BD02C0"/>
    <w:rsid w:val="00BD1DDD"/>
    <w:rsid w:val="00C0108E"/>
    <w:rsid w:val="00C10B26"/>
    <w:rsid w:val="00C11953"/>
    <w:rsid w:val="00C12B4A"/>
    <w:rsid w:val="00C22DED"/>
    <w:rsid w:val="00C32332"/>
    <w:rsid w:val="00C33347"/>
    <w:rsid w:val="00C37D62"/>
    <w:rsid w:val="00C704A3"/>
    <w:rsid w:val="00C71B07"/>
    <w:rsid w:val="00C74701"/>
    <w:rsid w:val="00C854FD"/>
    <w:rsid w:val="00C873D8"/>
    <w:rsid w:val="00C8756E"/>
    <w:rsid w:val="00C87FDB"/>
    <w:rsid w:val="00C921BC"/>
    <w:rsid w:val="00C94085"/>
    <w:rsid w:val="00C971C1"/>
    <w:rsid w:val="00C97C43"/>
    <w:rsid w:val="00CA1CF9"/>
    <w:rsid w:val="00CA6065"/>
    <w:rsid w:val="00CB1A56"/>
    <w:rsid w:val="00CB4149"/>
    <w:rsid w:val="00CC00C8"/>
    <w:rsid w:val="00CD6629"/>
    <w:rsid w:val="00CD6E3E"/>
    <w:rsid w:val="00CE29A1"/>
    <w:rsid w:val="00CE54A6"/>
    <w:rsid w:val="00CE5516"/>
    <w:rsid w:val="00CE5F18"/>
    <w:rsid w:val="00CE6929"/>
    <w:rsid w:val="00D019D5"/>
    <w:rsid w:val="00D06C9D"/>
    <w:rsid w:val="00D22353"/>
    <w:rsid w:val="00D255AA"/>
    <w:rsid w:val="00D366BC"/>
    <w:rsid w:val="00D50A3D"/>
    <w:rsid w:val="00D523D6"/>
    <w:rsid w:val="00D54888"/>
    <w:rsid w:val="00D54CCA"/>
    <w:rsid w:val="00D77EE9"/>
    <w:rsid w:val="00D81B1D"/>
    <w:rsid w:val="00D940A6"/>
    <w:rsid w:val="00DA0456"/>
    <w:rsid w:val="00DA695C"/>
    <w:rsid w:val="00DB5442"/>
    <w:rsid w:val="00DC10F5"/>
    <w:rsid w:val="00DD1B82"/>
    <w:rsid w:val="00DD1EB3"/>
    <w:rsid w:val="00DD7067"/>
    <w:rsid w:val="00DE0E36"/>
    <w:rsid w:val="00DF1C77"/>
    <w:rsid w:val="00E04B4E"/>
    <w:rsid w:val="00E13801"/>
    <w:rsid w:val="00E142CB"/>
    <w:rsid w:val="00E2162B"/>
    <w:rsid w:val="00E35E48"/>
    <w:rsid w:val="00E372E6"/>
    <w:rsid w:val="00E40ED6"/>
    <w:rsid w:val="00E4198B"/>
    <w:rsid w:val="00E63914"/>
    <w:rsid w:val="00E71DE3"/>
    <w:rsid w:val="00E95B71"/>
    <w:rsid w:val="00EB35F4"/>
    <w:rsid w:val="00EC40AF"/>
    <w:rsid w:val="00EC6F27"/>
    <w:rsid w:val="00EC7339"/>
    <w:rsid w:val="00ED00E3"/>
    <w:rsid w:val="00ED7ACA"/>
    <w:rsid w:val="00EE315F"/>
    <w:rsid w:val="00EE3F83"/>
    <w:rsid w:val="00EE5636"/>
    <w:rsid w:val="00EE67E1"/>
    <w:rsid w:val="00EF1ED9"/>
    <w:rsid w:val="00F34321"/>
    <w:rsid w:val="00F435F8"/>
    <w:rsid w:val="00F4615C"/>
    <w:rsid w:val="00F60EC8"/>
    <w:rsid w:val="00F61205"/>
    <w:rsid w:val="00F65673"/>
    <w:rsid w:val="00F766DE"/>
    <w:rsid w:val="00F81CBB"/>
    <w:rsid w:val="00F83F1D"/>
    <w:rsid w:val="00F947E3"/>
    <w:rsid w:val="00FA6EE7"/>
    <w:rsid w:val="00FB16AF"/>
    <w:rsid w:val="00FB2BA1"/>
    <w:rsid w:val="00FD03E5"/>
    <w:rsid w:val="00FD21C0"/>
    <w:rsid w:val="00FD708D"/>
    <w:rsid w:val="00FF3258"/>
    <w:rsid w:val="00FF605E"/>
    <w:rsid w:val="025C03AF"/>
    <w:rsid w:val="027F2DFA"/>
    <w:rsid w:val="03CE3004"/>
    <w:rsid w:val="05521B31"/>
    <w:rsid w:val="072D3219"/>
    <w:rsid w:val="075D6DB9"/>
    <w:rsid w:val="07BE41B1"/>
    <w:rsid w:val="0A482AD1"/>
    <w:rsid w:val="0C2007BC"/>
    <w:rsid w:val="0C774E9C"/>
    <w:rsid w:val="0D9B08AF"/>
    <w:rsid w:val="10BB0BBF"/>
    <w:rsid w:val="123E31A0"/>
    <w:rsid w:val="131822ED"/>
    <w:rsid w:val="173608E8"/>
    <w:rsid w:val="174F7B7D"/>
    <w:rsid w:val="17C10487"/>
    <w:rsid w:val="17DD0CA7"/>
    <w:rsid w:val="18F707C0"/>
    <w:rsid w:val="1C14514E"/>
    <w:rsid w:val="1C706C18"/>
    <w:rsid w:val="1D6B377A"/>
    <w:rsid w:val="1F87239D"/>
    <w:rsid w:val="229857CC"/>
    <w:rsid w:val="24AC4F2F"/>
    <w:rsid w:val="24D962DC"/>
    <w:rsid w:val="259313B6"/>
    <w:rsid w:val="26721EA4"/>
    <w:rsid w:val="28A3100D"/>
    <w:rsid w:val="2EFF406D"/>
    <w:rsid w:val="2F6802F9"/>
    <w:rsid w:val="301D66D7"/>
    <w:rsid w:val="349F37A8"/>
    <w:rsid w:val="34AE59AB"/>
    <w:rsid w:val="360C3EC0"/>
    <w:rsid w:val="38385C96"/>
    <w:rsid w:val="39705B67"/>
    <w:rsid w:val="3C86364C"/>
    <w:rsid w:val="3E784180"/>
    <w:rsid w:val="3EB82187"/>
    <w:rsid w:val="3FD114C3"/>
    <w:rsid w:val="40903EDF"/>
    <w:rsid w:val="419D5D90"/>
    <w:rsid w:val="434927CE"/>
    <w:rsid w:val="4827261C"/>
    <w:rsid w:val="48EA5F01"/>
    <w:rsid w:val="493B607A"/>
    <w:rsid w:val="49A9776A"/>
    <w:rsid w:val="4B1E7000"/>
    <w:rsid w:val="4F482B19"/>
    <w:rsid w:val="4FFF680C"/>
    <w:rsid w:val="504E5C0C"/>
    <w:rsid w:val="518F449E"/>
    <w:rsid w:val="52A1625B"/>
    <w:rsid w:val="53DB5017"/>
    <w:rsid w:val="53EF3038"/>
    <w:rsid w:val="56B31EE3"/>
    <w:rsid w:val="56CD7B62"/>
    <w:rsid w:val="57C91AD1"/>
    <w:rsid w:val="58F01D63"/>
    <w:rsid w:val="5BF94877"/>
    <w:rsid w:val="5CCC3332"/>
    <w:rsid w:val="5CCE4E60"/>
    <w:rsid w:val="5DD6675F"/>
    <w:rsid w:val="5E215685"/>
    <w:rsid w:val="5F490ACB"/>
    <w:rsid w:val="5FF53EF3"/>
    <w:rsid w:val="61541FA7"/>
    <w:rsid w:val="631C3A56"/>
    <w:rsid w:val="63E140D6"/>
    <w:rsid w:val="666142DC"/>
    <w:rsid w:val="677001F2"/>
    <w:rsid w:val="680A6E3F"/>
    <w:rsid w:val="6A043D8C"/>
    <w:rsid w:val="6B6D678F"/>
    <w:rsid w:val="6BA75218"/>
    <w:rsid w:val="6C0B15AB"/>
    <w:rsid w:val="6D4A54AD"/>
    <w:rsid w:val="6D655CAF"/>
    <w:rsid w:val="6DCD4DA0"/>
    <w:rsid w:val="6E980E96"/>
    <w:rsid w:val="702D2F5B"/>
    <w:rsid w:val="70484933"/>
    <w:rsid w:val="724A4A8B"/>
    <w:rsid w:val="72651428"/>
    <w:rsid w:val="73154CC2"/>
    <w:rsid w:val="742E01E5"/>
    <w:rsid w:val="76362E81"/>
    <w:rsid w:val="76DE1C26"/>
    <w:rsid w:val="779D4DA4"/>
    <w:rsid w:val="7B3D6E06"/>
    <w:rsid w:val="7D7F215B"/>
    <w:rsid w:val="7E543743"/>
    <w:rsid w:val="7E982479"/>
    <w:rsid w:val="7E9A68AA"/>
    <w:rsid w:val="7EAA444B"/>
    <w:rsid w:val="7F880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0"/>
    <w:pPr>
      <w:ind w:left="100" w:leftChars="2500"/>
    </w:pPr>
  </w:style>
  <w:style w:type="paragraph" w:styleId="3">
    <w:name w:val="Body Text Indent 2"/>
    <w:basedOn w:val="1"/>
    <w:link w:val="14"/>
    <w:semiHidden/>
    <w:unhideWhenUsed/>
    <w:qFormat/>
    <w:uiPriority w:val="0"/>
    <w:pPr>
      <w:ind w:firstLine="588" w:firstLineChars="200"/>
    </w:pPr>
    <w:rPr>
      <w:rFonts w:ascii="仿宋_GB2312" w:hAnsi="Calibri" w:eastAsia="仿宋_GB2312"/>
      <w:sz w:val="32"/>
    </w:rPr>
  </w:style>
  <w:style w:type="paragraph" w:styleId="4">
    <w:name w:val="footer"/>
    <w:basedOn w:val="1"/>
    <w:link w:val="18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9">
    <w:name w:val="FollowedHyperlink"/>
    <w:basedOn w:val="8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Hyperlink"/>
    <w:basedOn w:val="8"/>
    <w:semiHidden/>
    <w:unhideWhenUsed/>
    <w:qFormat/>
    <w:uiPriority w:val="0"/>
    <w:rPr>
      <w:color w:val="0000FF"/>
      <w:u w:val="single"/>
    </w:rPr>
  </w:style>
  <w:style w:type="character" w:customStyle="1" w:styleId="11">
    <w:name w:val="页眉 Char"/>
    <w:basedOn w:val="8"/>
    <w:link w:val="5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8"/>
    <w:link w:val="4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4">
    <w:name w:val="正文文本缩进 2 Char"/>
    <w:basedOn w:val="8"/>
    <w:link w:val="3"/>
    <w:semiHidden/>
    <w:qFormat/>
    <w:uiPriority w:val="0"/>
    <w:rPr>
      <w:rFonts w:ascii="仿宋_GB2312" w:hAnsi="Calibri" w:eastAsia="仿宋_GB2312" w:cs="Times New Roman"/>
      <w:sz w:val="32"/>
      <w:szCs w:val="24"/>
    </w:rPr>
  </w:style>
  <w:style w:type="paragraph" w:customStyle="1" w:styleId="15">
    <w:name w:val="Char"/>
    <w:basedOn w:val="1"/>
    <w:qFormat/>
    <w:uiPriority w:val="0"/>
    <w:pPr>
      <w:autoSpaceDE w:val="0"/>
      <w:autoSpaceDN w:val="0"/>
      <w:adjustRightInd w:val="0"/>
    </w:pPr>
    <w:rPr>
      <w:rFonts w:ascii="宋体" w:cs="宋体"/>
      <w:kern w:val="0"/>
      <w:sz w:val="20"/>
      <w:szCs w:val="20"/>
      <w:lang w:val="zh-CN"/>
    </w:rPr>
  </w:style>
  <w:style w:type="paragraph" w:customStyle="1" w:styleId="16">
    <w:name w:val="Char1"/>
    <w:basedOn w:val="1"/>
    <w:qFormat/>
    <w:uiPriority w:val="0"/>
    <w:rPr>
      <w:rFonts w:ascii="仿宋_GB2312" w:eastAsia="仿宋_GB2312"/>
      <w:sz w:val="32"/>
    </w:rPr>
  </w:style>
  <w:style w:type="paragraph" w:customStyle="1" w:styleId="17">
    <w:name w:val="Char Char Char Char Char Char Char Char Char Char Char Char1 Char Char Char Char"/>
    <w:basedOn w:val="1"/>
    <w:qFormat/>
    <w:uiPriority w:val="0"/>
    <w:pPr>
      <w:numPr>
        <w:ilvl w:val="0"/>
        <w:numId w:val="1"/>
      </w:numPr>
      <w:tabs>
        <w:tab w:val="left" w:pos="720"/>
      </w:tabs>
    </w:pPr>
    <w:rPr>
      <w:szCs w:val="20"/>
    </w:rPr>
  </w:style>
  <w:style w:type="character" w:customStyle="1" w:styleId="18">
    <w:name w:val="页脚 Char1"/>
    <w:basedOn w:val="8"/>
    <w:link w:val="4"/>
    <w:semiHidden/>
    <w:qFormat/>
    <w:locked/>
    <w:uiPriority w:val="0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9">
    <w:name w:val="标题 3 Char Char"/>
    <w:qFormat/>
    <w:uiPriority w:val="0"/>
    <w:rPr>
      <w:rFonts w:hint="eastAsia" w:ascii="楷体_GB2312" w:eastAsia="楷体_GB2312"/>
      <w:b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11</Pages>
  <Words>718</Words>
  <Characters>4095</Characters>
  <Lines>34</Lines>
  <Paragraphs>9</Paragraphs>
  <TotalTime>2</TotalTime>
  <ScaleCrop>false</ScaleCrop>
  <LinksUpToDate>false</LinksUpToDate>
  <CharactersWithSpaces>4804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2020-05-20T01:02:00Z</dcterms:created>
  <dc:creator>许节来 10.105.116.156</dc:creator>
  <cp:lastModifiedBy>Administrator</cp:lastModifiedBy>
  <cp:lastPrinted>2024-09-26T09:50:23Z</cp:lastPrinted>
  <dcterms:modified xsi:type="dcterms:W3CDTF">2024-09-26T09:51:01Z</dcterms:modified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5EB2810132F04182A519B4A9200A01F8</vt:lpwstr>
  </property>
</Properties>
</file>