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2B982A">
      <w:pPr>
        <w:spacing w:line="240" w:lineRule="auto"/>
        <w:ind w:firstLine="0" w:firstLineChars="0"/>
        <w:rPr>
          <w:sz w:val="36"/>
          <w:szCs w:val="36"/>
        </w:rPr>
      </w:pPr>
    </w:p>
    <w:p w14:paraId="294C194F">
      <w:pPr>
        <w:ind w:firstLine="480"/>
      </w:pPr>
    </w:p>
    <w:p w14:paraId="44FDA52E">
      <w:pPr>
        <w:spacing w:line="240" w:lineRule="auto"/>
        <w:ind w:firstLine="0" w:firstLineChars="0"/>
        <w:rPr>
          <w:sz w:val="36"/>
          <w:szCs w:val="36"/>
        </w:rPr>
      </w:pPr>
    </w:p>
    <w:p w14:paraId="54637FE3">
      <w:pPr>
        <w:ind w:firstLine="480"/>
      </w:pPr>
      <w:bookmarkStart w:id="0" w:name="_Toc12852"/>
      <w:bookmarkStart w:id="1" w:name="_Toc29258"/>
    </w:p>
    <w:p w14:paraId="6474924F">
      <w:pPr>
        <w:adjustRightInd w:val="0"/>
        <w:snapToGrid w:val="0"/>
        <w:spacing w:line="240" w:lineRule="auto"/>
        <w:ind w:firstLine="0" w:firstLineChars="0"/>
        <w:jc w:val="center"/>
        <w:outlineLvl w:val="0"/>
        <w:rPr>
          <w:b/>
          <w:sz w:val="72"/>
          <w:szCs w:val="72"/>
        </w:rPr>
      </w:pPr>
      <w:bookmarkStart w:id="2" w:name="_Toc17971"/>
      <w:r>
        <w:rPr>
          <w:b/>
          <w:sz w:val="72"/>
          <w:szCs w:val="72"/>
        </w:rPr>
        <w:t>建设项目环境影响报告表</w:t>
      </w:r>
      <w:bookmarkEnd w:id="0"/>
      <w:bookmarkEnd w:id="1"/>
      <w:bookmarkEnd w:id="2"/>
    </w:p>
    <w:p w14:paraId="2E925E8E">
      <w:pPr>
        <w:adjustRightInd w:val="0"/>
        <w:snapToGrid w:val="0"/>
        <w:spacing w:before="249" w:beforeLines="80" w:line="240" w:lineRule="auto"/>
        <w:ind w:firstLine="0" w:firstLineChars="0"/>
        <w:jc w:val="center"/>
        <w:rPr>
          <w:b/>
          <w:sz w:val="48"/>
          <w:szCs w:val="48"/>
        </w:rPr>
      </w:pPr>
      <w:r>
        <w:rPr>
          <w:rFonts w:hint="eastAsia"/>
          <w:b/>
          <w:sz w:val="48"/>
          <w:szCs w:val="48"/>
        </w:rPr>
        <w:t>（</w:t>
      </w:r>
      <w:r>
        <w:rPr>
          <w:b/>
          <w:sz w:val="48"/>
          <w:szCs w:val="48"/>
        </w:rPr>
        <w:t>污染影响类）</w:t>
      </w:r>
    </w:p>
    <w:p w14:paraId="08CD42FE">
      <w:pPr>
        <w:adjustRightInd w:val="0"/>
        <w:snapToGrid w:val="0"/>
        <w:spacing w:line="288" w:lineRule="auto"/>
        <w:ind w:firstLine="0" w:firstLineChars="0"/>
        <w:jc w:val="center"/>
        <w:rPr>
          <w:b/>
          <w:kern w:val="44"/>
          <w:sz w:val="44"/>
          <w:szCs w:val="44"/>
        </w:rPr>
      </w:pPr>
    </w:p>
    <w:p w14:paraId="25F736E5">
      <w:pPr>
        <w:spacing w:line="240" w:lineRule="auto"/>
        <w:ind w:firstLine="0" w:firstLineChars="0"/>
        <w:jc w:val="center"/>
        <w:rPr>
          <w:b/>
          <w:sz w:val="52"/>
          <w:szCs w:val="52"/>
        </w:rPr>
      </w:pPr>
    </w:p>
    <w:p w14:paraId="62E4FE7D">
      <w:pPr>
        <w:spacing w:line="240" w:lineRule="auto"/>
        <w:ind w:firstLine="1040" w:firstLineChars="0"/>
        <w:rPr>
          <w:b/>
          <w:sz w:val="44"/>
          <w:szCs w:val="44"/>
        </w:rPr>
      </w:pPr>
    </w:p>
    <w:p w14:paraId="24F240AA">
      <w:pPr>
        <w:spacing w:line="240" w:lineRule="auto"/>
        <w:ind w:firstLine="1040" w:firstLineChars="0"/>
        <w:rPr>
          <w:b/>
          <w:sz w:val="44"/>
          <w:szCs w:val="44"/>
        </w:rPr>
      </w:pPr>
    </w:p>
    <w:p w14:paraId="28D02132">
      <w:pPr>
        <w:spacing w:line="240" w:lineRule="auto"/>
        <w:ind w:firstLine="0" w:firstLineChars="0"/>
        <w:rPr>
          <w:b/>
          <w:sz w:val="44"/>
          <w:szCs w:val="44"/>
        </w:rPr>
      </w:pPr>
    </w:p>
    <w:p w14:paraId="59ADE205">
      <w:pPr>
        <w:spacing w:line="240" w:lineRule="auto"/>
        <w:ind w:firstLine="1040" w:firstLineChars="0"/>
        <w:rPr>
          <w:b/>
          <w:sz w:val="44"/>
          <w:szCs w:val="44"/>
        </w:rPr>
      </w:pPr>
    </w:p>
    <w:p w14:paraId="2E25EA1F">
      <w:pPr>
        <w:adjustRightInd w:val="0"/>
        <w:snapToGrid w:val="0"/>
        <w:ind w:firstLine="0" w:firstLineChars="0"/>
        <w:rPr>
          <w:b/>
          <w:sz w:val="32"/>
          <w:szCs w:val="32"/>
        </w:rPr>
      </w:pPr>
      <w:r>
        <w:rPr>
          <w:rFonts w:hint="eastAsia"/>
          <w:b/>
          <w:sz w:val="32"/>
          <w:szCs w:val="32"/>
        </w:rPr>
        <w:t>项  目  名  称 ：</w:t>
      </w:r>
      <w:r>
        <w:rPr>
          <w:rFonts w:hint="eastAsia"/>
          <w:b/>
          <w:sz w:val="32"/>
          <w:szCs w:val="32"/>
          <w:u w:val="single"/>
        </w:rPr>
        <w:t xml:space="preserve">    年清洗消毒餐具300万套建设项目       </w:t>
      </w:r>
      <w:r>
        <w:rPr>
          <w:rFonts w:hint="eastAsia"/>
          <w:b/>
          <w:sz w:val="32"/>
          <w:szCs w:val="32"/>
        </w:rPr>
        <w:t xml:space="preserve">           </w:t>
      </w:r>
    </w:p>
    <w:p w14:paraId="6BE5C7BF">
      <w:pPr>
        <w:adjustRightInd w:val="0"/>
        <w:snapToGrid w:val="0"/>
        <w:ind w:firstLine="0" w:firstLineChars="0"/>
        <w:rPr>
          <w:b/>
          <w:sz w:val="32"/>
          <w:szCs w:val="32"/>
          <w:u w:val="single"/>
        </w:rPr>
      </w:pPr>
      <w:r>
        <w:rPr>
          <w:rFonts w:hint="eastAsia"/>
          <w:b/>
          <w:sz w:val="32"/>
          <w:szCs w:val="32"/>
        </w:rPr>
        <w:t>建设单位（盖章）：</w:t>
      </w:r>
      <w:r>
        <w:rPr>
          <w:rFonts w:hint="eastAsia"/>
          <w:b/>
          <w:sz w:val="32"/>
          <w:szCs w:val="32"/>
          <w:u w:val="single"/>
        </w:rPr>
        <w:t xml:space="preserve">   岳阳卫康达餐具消毒服务有限公司       </w:t>
      </w:r>
    </w:p>
    <w:p w14:paraId="7F1B6E83">
      <w:pPr>
        <w:adjustRightInd w:val="0"/>
        <w:snapToGrid w:val="0"/>
        <w:ind w:firstLine="0" w:firstLineChars="0"/>
        <w:rPr>
          <w:b/>
          <w:sz w:val="32"/>
          <w:szCs w:val="32"/>
          <w:u w:val="thick"/>
        </w:rPr>
      </w:pPr>
      <w:r>
        <w:rPr>
          <w:rFonts w:hint="eastAsia"/>
          <w:b/>
          <w:sz w:val="32"/>
          <w:szCs w:val="32"/>
        </w:rPr>
        <w:t>编  制  日  期 ：</w:t>
      </w:r>
      <w:r>
        <w:rPr>
          <w:rFonts w:hint="eastAsia"/>
          <w:b/>
          <w:sz w:val="32"/>
          <w:szCs w:val="32"/>
          <w:u w:val="single"/>
        </w:rPr>
        <w:t xml:space="preserve">              2024年1</w:t>
      </w:r>
      <w:r>
        <w:rPr>
          <w:rFonts w:hint="eastAsia"/>
          <w:b/>
          <w:sz w:val="32"/>
          <w:szCs w:val="32"/>
          <w:u w:val="single"/>
          <w:lang w:val="en-US" w:eastAsia="zh-CN"/>
        </w:rPr>
        <w:t>2</w:t>
      </w:r>
      <w:r>
        <w:rPr>
          <w:rFonts w:hint="eastAsia"/>
          <w:b/>
          <w:sz w:val="32"/>
          <w:szCs w:val="32"/>
          <w:u w:val="single"/>
        </w:rPr>
        <w:t xml:space="preserve">月            </w:t>
      </w:r>
    </w:p>
    <w:p w14:paraId="0A95429C">
      <w:pPr>
        <w:adjustRightInd w:val="0"/>
        <w:snapToGrid w:val="0"/>
        <w:ind w:firstLineChars="300"/>
        <w:rPr>
          <w:b/>
          <w:sz w:val="32"/>
          <w:szCs w:val="32"/>
        </w:rPr>
      </w:pPr>
      <w:r>
        <w:rPr>
          <w:rFonts w:hint="eastAsia"/>
          <w:b/>
          <w:sz w:val="32"/>
          <w:szCs w:val="32"/>
        </w:rPr>
        <w:t xml:space="preserve">        </w:t>
      </w:r>
    </w:p>
    <w:p w14:paraId="62D5467D">
      <w:pPr>
        <w:adjustRightInd w:val="0"/>
        <w:snapToGrid w:val="0"/>
        <w:spacing w:line="288" w:lineRule="auto"/>
        <w:ind w:firstLine="1040" w:firstLineChars="0"/>
        <w:rPr>
          <w:b/>
          <w:sz w:val="36"/>
          <w:szCs w:val="36"/>
        </w:rPr>
      </w:pPr>
      <w:bookmarkStart w:id="3" w:name="_Hlk57884087"/>
    </w:p>
    <w:p w14:paraId="6ED2E79B">
      <w:pPr>
        <w:adjustRightInd w:val="0"/>
        <w:snapToGrid w:val="0"/>
        <w:spacing w:line="288" w:lineRule="auto"/>
        <w:ind w:firstLine="0" w:firstLineChars="0"/>
        <w:rPr>
          <w:b/>
          <w:sz w:val="36"/>
          <w:szCs w:val="36"/>
        </w:rPr>
      </w:pPr>
    </w:p>
    <w:bookmarkEnd w:id="3"/>
    <w:p w14:paraId="3B62CA7E">
      <w:pPr>
        <w:adjustRightInd w:val="0"/>
        <w:snapToGrid w:val="0"/>
        <w:spacing w:line="288" w:lineRule="auto"/>
        <w:ind w:firstLine="0" w:firstLineChars="0"/>
        <w:rPr>
          <w:b/>
          <w:sz w:val="36"/>
          <w:szCs w:val="36"/>
        </w:rPr>
      </w:pPr>
    </w:p>
    <w:p w14:paraId="025C5172">
      <w:pPr>
        <w:adjustRightInd w:val="0"/>
        <w:snapToGrid w:val="0"/>
        <w:spacing w:line="288" w:lineRule="auto"/>
        <w:ind w:firstLine="0" w:firstLineChars="0"/>
        <w:rPr>
          <w:b/>
          <w:sz w:val="36"/>
          <w:szCs w:val="36"/>
        </w:rPr>
      </w:pPr>
    </w:p>
    <w:p w14:paraId="1CC3C659">
      <w:pPr>
        <w:adjustRightInd w:val="0"/>
        <w:snapToGrid w:val="0"/>
        <w:spacing w:line="288" w:lineRule="auto"/>
        <w:ind w:firstLine="0" w:firstLineChars="0"/>
        <w:rPr>
          <w:b/>
          <w:sz w:val="36"/>
          <w:szCs w:val="36"/>
        </w:rPr>
      </w:pPr>
    </w:p>
    <w:p w14:paraId="313F3D0A">
      <w:pPr>
        <w:widowControl/>
        <w:spacing w:line="240" w:lineRule="auto"/>
        <w:ind w:firstLine="0" w:firstLineChars="0"/>
        <w:jc w:val="center"/>
        <w:outlineLvl w:val="0"/>
        <w:rPr>
          <w:b/>
          <w:sz w:val="36"/>
          <w:szCs w:val="36"/>
        </w:rPr>
      </w:pPr>
      <w:bookmarkStart w:id="4" w:name="_Toc19537"/>
      <w:bookmarkStart w:id="5" w:name="_Toc31648"/>
      <w:r>
        <w:rPr>
          <w:b/>
          <w:sz w:val="36"/>
          <w:szCs w:val="36"/>
        </w:rPr>
        <w:t>中华人民共和国生态环境部制</w:t>
      </w:r>
      <w:bookmarkEnd w:id="4"/>
      <w:bookmarkEnd w:id="5"/>
    </w:p>
    <w:p w14:paraId="38F10F7C">
      <w:pPr>
        <w:ind w:firstLine="480"/>
      </w:pPr>
      <w:r>
        <w:br w:type="page"/>
      </w:r>
    </w:p>
    <w:p w14:paraId="04D2134C">
      <w:pPr>
        <w:ind w:left="0" w:leftChars="0" w:firstLine="0" w:firstLineChars="0"/>
        <w:rPr>
          <w:rFonts w:hint="eastAsia" w:eastAsia="宋体"/>
          <w:lang w:eastAsia="zh-CN"/>
        </w:rPr>
      </w:pPr>
    </w:p>
    <w:sdt>
      <w:sdtPr>
        <w:rPr>
          <w:rFonts w:ascii="宋体" w:hAnsi="宋体"/>
          <w:b/>
          <w:bCs/>
          <w:sz w:val="32"/>
          <w:szCs w:val="32"/>
        </w:rPr>
        <w:id w:val="147472210"/>
        <w:docPartObj>
          <w:docPartGallery w:val="Table of Contents"/>
          <w:docPartUnique/>
        </w:docPartObj>
      </w:sdtPr>
      <w:sdtEndPr>
        <w:rPr>
          <w:rFonts w:hint="eastAsia" w:ascii="Times New Roman" w:hAnsi="Times New Roman"/>
          <w:b/>
          <w:bCs/>
          <w:sz w:val="24"/>
          <w:szCs w:val="24"/>
        </w:rPr>
      </w:sdtEndPr>
      <w:sdtContent>
        <w:p w14:paraId="21C916C1">
          <w:pPr>
            <w:spacing w:line="240" w:lineRule="auto"/>
            <w:ind w:firstLine="0" w:firstLineChars="0"/>
            <w:jc w:val="center"/>
          </w:pPr>
          <w:r>
            <w:rPr>
              <w:rFonts w:ascii="宋体" w:hAnsi="宋体"/>
              <w:b/>
              <w:bCs/>
              <w:sz w:val="32"/>
              <w:szCs w:val="32"/>
            </w:rPr>
            <w:t>目录</w:t>
          </w:r>
          <w:r>
            <w:rPr>
              <w:rFonts w:hint="eastAsia"/>
              <w:sz w:val="28"/>
              <w:szCs w:val="28"/>
            </w:rPr>
            <w:fldChar w:fldCharType="begin"/>
          </w:r>
          <w:r>
            <w:rPr>
              <w:rFonts w:hint="eastAsia"/>
              <w:sz w:val="28"/>
              <w:szCs w:val="28"/>
            </w:rPr>
            <w:instrText xml:space="preserve">TOC \o "1-1" \h \u </w:instrText>
          </w:r>
          <w:r>
            <w:rPr>
              <w:rFonts w:hint="eastAsia"/>
              <w:sz w:val="28"/>
              <w:szCs w:val="28"/>
            </w:rPr>
            <w:fldChar w:fldCharType="separate"/>
          </w:r>
        </w:p>
        <w:p w14:paraId="3C6F51B0">
          <w:pPr>
            <w:pStyle w:val="9"/>
            <w:tabs>
              <w:tab w:val="right" w:leader="dot" w:pos="8306"/>
            </w:tabs>
            <w:ind w:firstLine="482"/>
            <w:rPr>
              <w:b/>
              <w:bCs/>
            </w:rPr>
          </w:pPr>
          <w:r>
            <w:fldChar w:fldCharType="begin"/>
          </w:r>
          <w:r>
            <w:instrText xml:space="preserve"> HYPERLINK \l "_Toc9985" </w:instrText>
          </w:r>
          <w:r>
            <w:fldChar w:fldCharType="separate"/>
          </w:r>
          <w:r>
            <w:rPr>
              <w:b/>
              <w:bCs/>
            </w:rPr>
            <w:t>一、建设项目基本情况</w:t>
          </w:r>
          <w:r>
            <w:rPr>
              <w:b/>
              <w:bCs/>
            </w:rPr>
            <w:tab/>
          </w:r>
          <w:r>
            <w:rPr>
              <w:b/>
              <w:bCs/>
            </w:rPr>
            <w:fldChar w:fldCharType="begin"/>
          </w:r>
          <w:r>
            <w:rPr>
              <w:b/>
              <w:bCs/>
            </w:rPr>
            <w:instrText xml:space="preserve"> PAGEREF _Toc9985 \h </w:instrText>
          </w:r>
          <w:r>
            <w:rPr>
              <w:b/>
              <w:bCs/>
            </w:rPr>
            <w:fldChar w:fldCharType="separate"/>
          </w:r>
          <w:r>
            <w:rPr>
              <w:b/>
              <w:bCs/>
            </w:rPr>
            <w:t>1</w:t>
          </w:r>
          <w:r>
            <w:rPr>
              <w:b/>
              <w:bCs/>
            </w:rPr>
            <w:fldChar w:fldCharType="end"/>
          </w:r>
          <w:r>
            <w:rPr>
              <w:b/>
              <w:bCs/>
            </w:rPr>
            <w:fldChar w:fldCharType="end"/>
          </w:r>
        </w:p>
        <w:p w14:paraId="18DDF3E2">
          <w:pPr>
            <w:pStyle w:val="9"/>
            <w:tabs>
              <w:tab w:val="right" w:leader="dot" w:pos="8306"/>
            </w:tabs>
            <w:ind w:firstLine="482"/>
            <w:rPr>
              <w:b/>
              <w:bCs/>
            </w:rPr>
          </w:pPr>
          <w:r>
            <w:fldChar w:fldCharType="begin"/>
          </w:r>
          <w:r>
            <w:instrText xml:space="preserve"> HYPERLINK \l "_Toc21316" </w:instrText>
          </w:r>
          <w:r>
            <w:fldChar w:fldCharType="separate"/>
          </w:r>
          <w:r>
            <w:rPr>
              <w:b/>
              <w:bCs/>
            </w:rPr>
            <w:t>二、建设项目工程分析</w:t>
          </w:r>
          <w:r>
            <w:rPr>
              <w:b/>
              <w:bCs/>
            </w:rPr>
            <w:tab/>
          </w:r>
          <w:r>
            <w:rPr>
              <w:b/>
              <w:bCs/>
            </w:rPr>
            <w:fldChar w:fldCharType="begin"/>
          </w:r>
          <w:r>
            <w:rPr>
              <w:b/>
              <w:bCs/>
            </w:rPr>
            <w:instrText xml:space="preserve"> PAGEREF _Toc21316 \h </w:instrText>
          </w:r>
          <w:r>
            <w:rPr>
              <w:b/>
              <w:bCs/>
            </w:rPr>
            <w:fldChar w:fldCharType="separate"/>
          </w:r>
          <w:r>
            <w:rPr>
              <w:b/>
              <w:bCs/>
            </w:rPr>
            <w:t>9</w:t>
          </w:r>
          <w:r>
            <w:rPr>
              <w:b/>
              <w:bCs/>
            </w:rPr>
            <w:fldChar w:fldCharType="end"/>
          </w:r>
          <w:r>
            <w:rPr>
              <w:b/>
              <w:bCs/>
            </w:rPr>
            <w:fldChar w:fldCharType="end"/>
          </w:r>
        </w:p>
        <w:p w14:paraId="3FA31351">
          <w:pPr>
            <w:pStyle w:val="9"/>
            <w:tabs>
              <w:tab w:val="right" w:leader="dot" w:pos="8306"/>
            </w:tabs>
            <w:ind w:firstLine="482"/>
            <w:rPr>
              <w:b/>
              <w:bCs/>
            </w:rPr>
          </w:pPr>
          <w:r>
            <w:fldChar w:fldCharType="begin"/>
          </w:r>
          <w:r>
            <w:instrText xml:space="preserve"> HYPERLINK \l "_Toc20279" </w:instrText>
          </w:r>
          <w:r>
            <w:fldChar w:fldCharType="separate"/>
          </w:r>
          <w:r>
            <w:rPr>
              <w:rFonts w:hint="eastAsia"/>
              <w:b/>
              <w:bCs/>
            </w:rPr>
            <w:t xml:space="preserve">三、 </w:t>
          </w:r>
          <w:r>
            <w:rPr>
              <w:b/>
              <w:bCs/>
            </w:rPr>
            <w:t>区域环境质量现状、环境保护目标及评价标准</w:t>
          </w:r>
          <w:r>
            <w:rPr>
              <w:b/>
              <w:bCs/>
            </w:rPr>
            <w:tab/>
          </w:r>
          <w:r>
            <w:rPr>
              <w:b/>
              <w:bCs/>
            </w:rPr>
            <w:fldChar w:fldCharType="begin"/>
          </w:r>
          <w:r>
            <w:rPr>
              <w:b/>
              <w:bCs/>
            </w:rPr>
            <w:instrText xml:space="preserve"> PAGEREF _Toc20279 \h </w:instrText>
          </w:r>
          <w:r>
            <w:rPr>
              <w:b/>
              <w:bCs/>
            </w:rPr>
            <w:fldChar w:fldCharType="separate"/>
          </w:r>
          <w:r>
            <w:rPr>
              <w:b/>
              <w:bCs/>
            </w:rPr>
            <w:t>16</w:t>
          </w:r>
          <w:r>
            <w:rPr>
              <w:b/>
              <w:bCs/>
            </w:rPr>
            <w:fldChar w:fldCharType="end"/>
          </w:r>
          <w:r>
            <w:rPr>
              <w:b/>
              <w:bCs/>
            </w:rPr>
            <w:fldChar w:fldCharType="end"/>
          </w:r>
        </w:p>
        <w:p w14:paraId="14D1BD40">
          <w:pPr>
            <w:pStyle w:val="9"/>
            <w:tabs>
              <w:tab w:val="right" w:leader="dot" w:pos="8306"/>
            </w:tabs>
            <w:ind w:firstLine="482"/>
            <w:rPr>
              <w:b/>
              <w:bCs/>
            </w:rPr>
          </w:pPr>
          <w:r>
            <w:fldChar w:fldCharType="begin"/>
          </w:r>
          <w:r>
            <w:instrText xml:space="preserve"> HYPERLINK \l "_Toc30748" </w:instrText>
          </w:r>
          <w:r>
            <w:fldChar w:fldCharType="separate"/>
          </w:r>
          <w:r>
            <w:rPr>
              <w:rFonts w:hint="eastAsia"/>
              <w:b/>
              <w:bCs/>
            </w:rPr>
            <w:t>四、 主要环境影响和保护措施</w:t>
          </w:r>
          <w:r>
            <w:rPr>
              <w:b/>
              <w:bCs/>
            </w:rPr>
            <w:tab/>
          </w:r>
          <w:r>
            <w:rPr>
              <w:b/>
              <w:bCs/>
            </w:rPr>
            <w:fldChar w:fldCharType="begin"/>
          </w:r>
          <w:r>
            <w:rPr>
              <w:b/>
              <w:bCs/>
            </w:rPr>
            <w:instrText xml:space="preserve"> PAGEREF _Toc30748 \h </w:instrText>
          </w:r>
          <w:r>
            <w:rPr>
              <w:b/>
              <w:bCs/>
            </w:rPr>
            <w:fldChar w:fldCharType="separate"/>
          </w:r>
          <w:r>
            <w:rPr>
              <w:b/>
              <w:bCs/>
            </w:rPr>
            <w:t>19</w:t>
          </w:r>
          <w:r>
            <w:rPr>
              <w:b/>
              <w:bCs/>
            </w:rPr>
            <w:fldChar w:fldCharType="end"/>
          </w:r>
          <w:r>
            <w:rPr>
              <w:b/>
              <w:bCs/>
            </w:rPr>
            <w:fldChar w:fldCharType="end"/>
          </w:r>
        </w:p>
        <w:p w14:paraId="4FE0132B">
          <w:pPr>
            <w:pStyle w:val="9"/>
            <w:tabs>
              <w:tab w:val="right" w:leader="dot" w:pos="8306"/>
            </w:tabs>
            <w:ind w:firstLine="482"/>
            <w:rPr>
              <w:b/>
              <w:bCs/>
            </w:rPr>
          </w:pPr>
          <w:r>
            <w:fldChar w:fldCharType="begin"/>
          </w:r>
          <w:r>
            <w:instrText xml:space="preserve"> HYPERLINK \l "_Toc2655" </w:instrText>
          </w:r>
          <w:r>
            <w:fldChar w:fldCharType="separate"/>
          </w:r>
          <w:r>
            <w:rPr>
              <w:rFonts w:hint="eastAsia"/>
              <w:b/>
              <w:bCs/>
            </w:rPr>
            <w:t xml:space="preserve">五、 </w:t>
          </w:r>
          <w:r>
            <w:rPr>
              <w:b/>
              <w:bCs/>
            </w:rPr>
            <w:t>环境保护措施监督检查清单</w:t>
          </w:r>
          <w:r>
            <w:rPr>
              <w:b/>
              <w:bCs/>
            </w:rPr>
            <w:tab/>
          </w:r>
          <w:r>
            <w:rPr>
              <w:b/>
              <w:bCs/>
            </w:rPr>
            <w:fldChar w:fldCharType="begin"/>
          </w:r>
          <w:r>
            <w:rPr>
              <w:b/>
              <w:bCs/>
            </w:rPr>
            <w:instrText xml:space="preserve"> PAGEREF _Toc2655 \h </w:instrText>
          </w:r>
          <w:r>
            <w:rPr>
              <w:b/>
              <w:bCs/>
            </w:rPr>
            <w:fldChar w:fldCharType="separate"/>
          </w:r>
          <w:r>
            <w:rPr>
              <w:b/>
              <w:bCs/>
            </w:rPr>
            <w:t>33</w:t>
          </w:r>
          <w:r>
            <w:rPr>
              <w:b/>
              <w:bCs/>
            </w:rPr>
            <w:fldChar w:fldCharType="end"/>
          </w:r>
          <w:r>
            <w:rPr>
              <w:b/>
              <w:bCs/>
            </w:rPr>
            <w:fldChar w:fldCharType="end"/>
          </w:r>
        </w:p>
        <w:p w14:paraId="0A17EB92">
          <w:pPr>
            <w:pStyle w:val="9"/>
            <w:tabs>
              <w:tab w:val="right" w:leader="dot" w:pos="8306"/>
            </w:tabs>
            <w:ind w:firstLine="482"/>
            <w:rPr>
              <w:b/>
              <w:bCs/>
            </w:rPr>
          </w:pPr>
          <w:r>
            <w:fldChar w:fldCharType="begin"/>
          </w:r>
          <w:r>
            <w:instrText xml:space="preserve"> HYPERLINK \l "_Toc17199" </w:instrText>
          </w:r>
          <w:r>
            <w:fldChar w:fldCharType="separate"/>
          </w:r>
          <w:r>
            <w:rPr>
              <w:rFonts w:hint="eastAsia"/>
              <w:b/>
              <w:bCs/>
            </w:rPr>
            <w:t>六、 结论</w:t>
          </w:r>
          <w:r>
            <w:rPr>
              <w:b/>
              <w:bCs/>
            </w:rPr>
            <w:tab/>
          </w:r>
          <w:r>
            <w:rPr>
              <w:b/>
              <w:bCs/>
            </w:rPr>
            <w:fldChar w:fldCharType="begin"/>
          </w:r>
          <w:r>
            <w:rPr>
              <w:b/>
              <w:bCs/>
            </w:rPr>
            <w:instrText xml:space="preserve"> PAGEREF _Toc17199 \h </w:instrText>
          </w:r>
          <w:r>
            <w:rPr>
              <w:b/>
              <w:bCs/>
            </w:rPr>
            <w:fldChar w:fldCharType="separate"/>
          </w:r>
          <w:r>
            <w:rPr>
              <w:b/>
              <w:bCs/>
            </w:rPr>
            <w:t>36</w:t>
          </w:r>
          <w:r>
            <w:rPr>
              <w:b/>
              <w:bCs/>
            </w:rPr>
            <w:fldChar w:fldCharType="end"/>
          </w:r>
          <w:r>
            <w:rPr>
              <w:b/>
              <w:bCs/>
            </w:rPr>
            <w:fldChar w:fldCharType="end"/>
          </w:r>
        </w:p>
        <w:p w14:paraId="5A335A4B">
          <w:pPr>
            <w:pStyle w:val="9"/>
            <w:tabs>
              <w:tab w:val="right" w:leader="dot" w:pos="8306"/>
            </w:tabs>
            <w:ind w:firstLine="482"/>
          </w:pPr>
          <w:r>
            <w:fldChar w:fldCharType="begin"/>
          </w:r>
          <w:r>
            <w:instrText xml:space="preserve"> HYPERLINK \l "_Toc18087" </w:instrText>
          </w:r>
          <w:r>
            <w:fldChar w:fldCharType="separate"/>
          </w:r>
          <w:r>
            <w:rPr>
              <w:rFonts w:hint="eastAsia"/>
              <w:b/>
              <w:bCs/>
            </w:rPr>
            <w:t>建设项目污染物排放量汇总表</w:t>
          </w:r>
          <w:r>
            <w:rPr>
              <w:b/>
              <w:bCs/>
            </w:rPr>
            <w:tab/>
          </w:r>
          <w:r>
            <w:rPr>
              <w:b/>
              <w:bCs/>
            </w:rPr>
            <w:fldChar w:fldCharType="begin"/>
          </w:r>
          <w:r>
            <w:rPr>
              <w:b/>
              <w:bCs/>
            </w:rPr>
            <w:instrText xml:space="preserve"> PAGEREF _Toc18087 \h </w:instrText>
          </w:r>
          <w:r>
            <w:rPr>
              <w:b/>
              <w:bCs/>
            </w:rPr>
            <w:fldChar w:fldCharType="separate"/>
          </w:r>
          <w:r>
            <w:rPr>
              <w:b/>
              <w:bCs/>
            </w:rPr>
            <w:t>36</w:t>
          </w:r>
          <w:r>
            <w:rPr>
              <w:b/>
              <w:bCs/>
            </w:rPr>
            <w:fldChar w:fldCharType="end"/>
          </w:r>
          <w:r>
            <w:rPr>
              <w:b/>
              <w:bCs/>
            </w:rPr>
            <w:fldChar w:fldCharType="end"/>
          </w:r>
        </w:p>
        <w:p w14:paraId="3D7726A6">
          <w:pPr>
            <w:pStyle w:val="9"/>
            <w:tabs>
              <w:tab w:val="right" w:leader="dot" w:pos="8306"/>
            </w:tabs>
            <w:ind w:firstLine="482"/>
            <w:rPr>
              <w:b/>
              <w:bCs/>
            </w:rPr>
          </w:pPr>
          <w:r>
            <w:rPr>
              <w:rFonts w:hint="eastAsia"/>
              <w:b/>
              <w:bCs/>
            </w:rPr>
            <w:t>附件</w:t>
          </w:r>
        </w:p>
        <w:p w14:paraId="19B23034">
          <w:pPr>
            <w:pStyle w:val="9"/>
            <w:tabs>
              <w:tab w:val="right" w:leader="dot" w:pos="8306"/>
            </w:tabs>
            <w:ind w:firstLine="480"/>
          </w:pPr>
          <w:r>
            <w:rPr>
              <w:rFonts w:hint="eastAsia"/>
            </w:rPr>
            <w:t>附件1 环评委托书</w:t>
          </w:r>
        </w:p>
        <w:p w14:paraId="5CFF9BC2">
          <w:pPr>
            <w:pStyle w:val="9"/>
            <w:tabs>
              <w:tab w:val="right" w:leader="dot" w:pos="8306"/>
            </w:tabs>
            <w:ind w:firstLine="480"/>
          </w:pPr>
          <w:r>
            <w:rPr>
              <w:rFonts w:hint="eastAsia"/>
            </w:rPr>
            <w:t>附件2 营业执照</w:t>
          </w:r>
        </w:p>
        <w:p w14:paraId="13ADBC44">
          <w:pPr>
            <w:pStyle w:val="9"/>
            <w:tabs>
              <w:tab w:val="right" w:leader="dot" w:pos="8306"/>
            </w:tabs>
            <w:ind w:firstLine="480"/>
          </w:pPr>
          <w:r>
            <w:rPr>
              <w:rFonts w:hint="eastAsia"/>
            </w:rPr>
            <w:t>附件3 生物质检测报告</w:t>
          </w:r>
        </w:p>
        <w:p w14:paraId="3DEEAF08">
          <w:pPr>
            <w:pStyle w:val="9"/>
            <w:tabs>
              <w:tab w:val="right" w:leader="dot" w:pos="8306"/>
            </w:tabs>
            <w:ind w:firstLine="480"/>
          </w:pPr>
          <w:r>
            <w:rPr>
              <w:rFonts w:hint="eastAsia"/>
            </w:rPr>
            <w:t>附件4 厂房租赁协议</w:t>
          </w:r>
        </w:p>
        <w:p w14:paraId="484EB57E">
          <w:pPr>
            <w:pStyle w:val="9"/>
            <w:tabs>
              <w:tab w:val="right" w:leader="dot" w:pos="8306"/>
            </w:tabs>
            <w:ind w:firstLine="480"/>
          </w:pPr>
          <w:r>
            <w:rPr>
              <w:rFonts w:hint="eastAsia"/>
            </w:rPr>
            <w:t>附件5 项目三区三线查询文件</w:t>
          </w:r>
        </w:p>
        <w:p w14:paraId="286FAB7F">
          <w:pPr>
            <w:ind w:firstLine="480"/>
          </w:pPr>
          <w:r>
            <w:t>附件6 污水外运处理合同</w:t>
          </w:r>
        </w:p>
        <w:p w14:paraId="32551E5A">
          <w:pPr>
            <w:pStyle w:val="9"/>
            <w:tabs>
              <w:tab w:val="right" w:leader="dot" w:pos="8306"/>
            </w:tabs>
            <w:ind w:firstLine="482"/>
            <w:rPr>
              <w:b/>
              <w:bCs/>
            </w:rPr>
          </w:pPr>
          <w:r>
            <w:rPr>
              <w:rFonts w:hint="eastAsia"/>
              <w:b/>
              <w:bCs/>
            </w:rPr>
            <w:t>附图</w:t>
          </w:r>
        </w:p>
        <w:p w14:paraId="5C2A7ED0">
          <w:pPr>
            <w:pStyle w:val="9"/>
            <w:tabs>
              <w:tab w:val="right" w:leader="dot" w:pos="8306"/>
            </w:tabs>
            <w:ind w:firstLine="480"/>
          </w:pPr>
          <w:r>
            <w:rPr>
              <w:rFonts w:hint="eastAsia"/>
            </w:rPr>
            <w:t>附图1 项目地理位置图</w:t>
          </w:r>
        </w:p>
        <w:p w14:paraId="0F381FBB">
          <w:pPr>
            <w:pStyle w:val="9"/>
            <w:tabs>
              <w:tab w:val="right" w:leader="dot" w:pos="8306"/>
            </w:tabs>
            <w:ind w:firstLine="480"/>
          </w:pPr>
          <w:r>
            <w:rPr>
              <w:rFonts w:hint="eastAsia"/>
            </w:rPr>
            <w:t>附图2 项目环境保护目标图</w:t>
          </w:r>
        </w:p>
        <w:p w14:paraId="26C3F415">
          <w:pPr>
            <w:pStyle w:val="9"/>
            <w:tabs>
              <w:tab w:val="right" w:leader="dot" w:pos="8306"/>
            </w:tabs>
            <w:ind w:firstLine="480"/>
          </w:pPr>
          <w:r>
            <w:rPr>
              <w:rFonts w:hint="eastAsia"/>
            </w:rPr>
            <w:t>附图3 厂区平面布局图</w:t>
          </w:r>
        </w:p>
        <w:p w14:paraId="78FBACD3">
          <w:pPr>
            <w:ind w:firstLine="0" w:firstLineChars="0"/>
          </w:pPr>
          <w:r>
            <w:rPr>
              <w:rFonts w:hint="eastAsia"/>
              <w:szCs w:val="28"/>
            </w:rPr>
            <w:fldChar w:fldCharType="end"/>
          </w:r>
        </w:p>
      </w:sdtContent>
    </w:sdt>
    <w:p w14:paraId="295B5ADB">
      <w:pPr>
        <w:ind w:firstLine="480"/>
      </w:pPr>
    </w:p>
    <w:p w14:paraId="1A0DCE68">
      <w:pPr>
        <w:ind w:firstLine="480"/>
      </w:pPr>
    </w:p>
    <w:p w14:paraId="5C59534C">
      <w:pPr>
        <w:pStyle w:val="2"/>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bookmarkStart w:id="6" w:name="_Toc1404"/>
    </w:p>
    <w:p w14:paraId="4FBCF922">
      <w:pPr>
        <w:pStyle w:val="2"/>
      </w:pPr>
      <w:bookmarkStart w:id="7" w:name="_Toc9985"/>
      <w:r>
        <w:t>一、建设项目基本情况</w:t>
      </w:r>
      <w:bookmarkEnd w:id="6"/>
      <w:bookmarkEnd w:id="7"/>
    </w:p>
    <w:tbl>
      <w:tblPr>
        <w:tblStyle w:val="1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59"/>
        <w:gridCol w:w="1691"/>
        <w:gridCol w:w="1760"/>
        <w:gridCol w:w="3015"/>
      </w:tblGrid>
      <w:tr w14:paraId="0BDA0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6AFC5AA5">
            <w:pPr>
              <w:spacing w:line="240" w:lineRule="auto"/>
              <w:ind w:firstLine="0" w:firstLineChars="0"/>
              <w:jc w:val="center"/>
            </w:pPr>
            <w:r>
              <w:t>建设项目名称</w:t>
            </w:r>
          </w:p>
        </w:tc>
        <w:tc>
          <w:tcPr>
            <w:tcW w:w="3872" w:type="pct"/>
            <w:gridSpan w:val="3"/>
            <w:tcBorders>
              <w:tl2br w:val="nil"/>
              <w:tr2bl w:val="nil"/>
            </w:tcBorders>
            <w:vAlign w:val="center"/>
          </w:tcPr>
          <w:p w14:paraId="07A9B07F">
            <w:pPr>
              <w:spacing w:line="240" w:lineRule="auto"/>
              <w:ind w:firstLine="0" w:firstLineChars="0"/>
              <w:jc w:val="center"/>
            </w:pPr>
            <w:r>
              <w:rPr>
                <w:rFonts w:hint="eastAsia"/>
              </w:rPr>
              <w:t>年</w:t>
            </w:r>
            <w:r>
              <w:t>清洗消毒餐具</w:t>
            </w:r>
            <w:r>
              <w:rPr>
                <w:rFonts w:hint="eastAsia"/>
              </w:rPr>
              <w:t>300万套建设项目</w:t>
            </w:r>
          </w:p>
        </w:tc>
      </w:tr>
      <w:tr w14:paraId="23D1A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2E66A03F">
            <w:pPr>
              <w:spacing w:line="240" w:lineRule="auto"/>
              <w:ind w:firstLine="0" w:firstLineChars="0"/>
              <w:jc w:val="center"/>
            </w:pPr>
            <w:r>
              <w:t>项目代码</w:t>
            </w:r>
          </w:p>
        </w:tc>
        <w:tc>
          <w:tcPr>
            <w:tcW w:w="3872" w:type="pct"/>
            <w:gridSpan w:val="3"/>
            <w:tcBorders>
              <w:tl2br w:val="nil"/>
              <w:tr2bl w:val="nil"/>
            </w:tcBorders>
            <w:vAlign w:val="center"/>
          </w:tcPr>
          <w:p w14:paraId="6D671C0D">
            <w:pPr>
              <w:adjustRightInd w:val="0"/>
              <w:snapToGrid w:val="0"/>
              <w:spacing w:line="240" w:lineRule="auto"/>
              <w:ind w:firstLine="0" w:firstLineChars="0"/>
              <w:jc w:val="center"/>
              <w:rPr>
                <w:szCs w:val="21"/>
              </w:rPr>
            </w:pPr>
            <w:r>
              <w:rPr>
                <w:rFonts w:hint="eastAsia"/>
                <w:szCs w:val="21"/>
              </w:rPr>
              <w:t>/</w:t>
            </w:r>
          </w:p>
        </w:tc>
      </w:tr>
      <w:tr w14:paraId="7A33F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413E6111">
            <w:pPr>
              <w:adjustRightInd w:val="0"/>
              <w:snapToGrid w:val="0"/>
              <w:spacing w:line="240" w:lineRule="auto"/>
              <w:ind w:firstLine="0" w:firstLineChars="0"/>
              <w:jc w:val="center"/>
              <w:rPr>
                <w:szCs w:val="21"/>
              </w:rPr>
            </w:pPr>
            <w:r>
              <w:rPr>
                <w:szCs w:val="21"/>
              </w:rPr>
              <w:t>建设单位联系人</w:t>
            </w:r>
          </w:p>
        </w:tc>
        <w:tc>
          <w:tcPr>
            <w:tcW w:w="1012" w:type="pct"/>
            <w:tcBorders>
              <w:tl2br w:val="nil"/>
              <w:tr2bl w:val="nil"/>
            </w:tcBorders>
            <w:vAlign w:val="center"/>
          </w:tcPr>
          <w:p w14:paraId="1A2B064D">
            <w:pPr>
              <w:adjustRightInd w:val="0"/>
              <w:snapToGrid w:val="0"/>
              <w:spacing w:line="240" w:lineRule="auto"/>
              <w:ind w:firstLine="0" w:firstLineChars="0"/>
              <w:jc w:val="center"/>
              <w:rPr>
                <w:rFonts w:hint="eastAsia" w:eastAsia="宋体"/>
                <w:szCs w:val="21"/>
                <w:lang w:eastAsia="zh-CN"/>
              </w:rPr>
            </w:pPr>
            <w:r>
              <w:rPr>
                <w:rFonts w:hint="eastAsia"/>
                <w:szCs w:val="21"/>
              </w:rPr>
              <w:t>姚</w:t>
            </w:r>
            <w:r>
              <w:rPr>
                <w:rFonts w:hint="eastAsia"/>
                <w:szCs w:val="21"/>
                <w:lang w:val="en-US" w:eastAsia="zh-CN"/>
              </w:rPr>
              <w:t>*</w:t>
            </w:r>
          </w:p>
        </w:tc>
        <w:tc>
          <w:tcPr>
            <w:tcW w:w="1054" w:type="pct"/>
            <w:tcBorders>
              <w:tl2br w:val="nil"/>
              <w:tr2bl w:val="nil"/>
            </w:tcBorders>
            <w:vAlign w:val="center"/>
          </w:tcPr>
          <w:p w14:paraId="4FEAE977">
            <w:pPr>
              <w:adjustRightInd w:val="0"/>
              <w:snapToGrid w:val="0"/>
              <w:spacing w:line="240" w:lineRule="auto"/>
              <w:ind w:firstLine="0" w:firstLineChars="0"/>
              <w:jc w:val="center"/>
              <w:rPr>
                <w:szCs w:val="21"/>
              </w:rPr>
            </w:pPr>
            <w:r>
              <w:rPr>
                <w:szCs w:val="21"/>
              </w:rPr>
              <w:t>联系方式</w:t>
            </w:r>
          </w:p>
        </w:tc>
        <w:tc>
          <w:tcPr>
            <w:tcW w:w="1804" w:type="pct"/>
            <w:tcBorders>
              <w:tl2br w:val="nil"/>
              <w:tr2bl w:val="nil"/>
            </w:tcBorders>
            <w:vAlign w:val="center"/>
          </w:tcPr>
          <w:p w14:paraId="72269A5D">
            <w:pPr>
              <w:adjustRightInd w:val="0"/>
              <w:snapToGrid w:val="0"/>
              <w:spacing w:line="240" w:lineRule="auto"/>
              <w:ind w:firstLine="0" w:firstLineChars="0"/>
              <w:jc w:val="center"/>
              <w:rPr>
                <w:szCs w:val="21"/>
              </w:rPr>
            </w:pPr>
            <w:r>
              <w:rPr>
                <w:szCs w:val="21"/>
              </w:rPr>
              <w:t>138</w:t>
            </w:r>
            <w:r>
              <w:rPr>
                <w:rFonts w:hint="eastAsia"/>
                <w:szCs w:val="21"/>
                <w:lang w:val="en-US" w:eastAsia="zh-CN"/>
              </w:rPr>
              <w:t>****</w:t>
            </w:r>
            <w:r>
              <w:rPr>
                <w:szCs w:val="21"/>
              </w:rPr>
              <w:t>3078</w:t>
            </w:r>
          </w:p>
        </w:tc>
      </w:tr>
      <w:tr w14:paraId="4984D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644297B7">
            <w:pPr>
              <w:adjustRightInd w:val="0"/>
              <w:snapToGrid w:val="0"/>
              <w:spacing w:line="240" w:lineRule="auto"/>
              <w:ind w:firstLine="0" w:firstLineChars="0"/>
              <w:jc w:val="center"/>
              <w:rPr>
                <w:szCs w:val="21"/>
              </w:rPr>
            </w:pPr>
            <w:r>
              <w:rPr>
                <w:szCs w:val="21"/>
              </w:rPr>
              <w:t>建设地点</w:t>
            </w:r>
          </w:p>
        </w:tc>
        <w:tc>
          <w:tcPr>
            <w:tcW w:w="3872" w:type="pct"/>
            <w:gridSpan w:val="3"/>
            <w:tcBorders>
              <w:tl2br w:val="nil"/>
              <w:tr2bl w:val="nil"/>
            </w:tcBorders>
            <w:vAlign w:val="center"/>
          </w:tcPr>
          <w:p w14:paraId="3062586E">
            <w:pPr>
              <w:spacing w:line="240" w:lineRule="auto"/>
              <w:ind w:firstLine="0" w:firstLineChars="0"/>
              <w:jc w:val="center"/>
            </w:pPr>
            <w:r>
              <w:t>岳阳县新开镇新开村毛栗片湘北大道西侧（6栋）</w:t>
            </w:r>
          </w:p>
        </w:tc>
      </w:tr>
      <w:tr w14:paraId="28ECA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7198C52A">
            <w:pPr>
              <w:adjustRightInd w:val="0"/>
              <w:snapToGrid w:val="0"/>
              <w:spacing w:line="240" w:lineRule="auto"/>
              <w:ind w:firstLine="0" w:firstLineChars="0"/>
              <w:jc w:val="center"/>
              <w:rPr>
                <w:szCs w:val="21"/>
              </w:rPr>
            </w:pPr>
            <w:r>
              <w:rPr>
                <w:szCs w:val="21"/>
              </w:rPr>
              <w:t>地理坐标</w:t>
            </w:r>
          </w:p>
        </w:tc>
        <w:tc>
          <w:tcPr>
            <w:tcW w:w="3872" w:type="pct"/>
            <w:gridSpan w:val="3"/>
            <w:tcBorders>
              <w:tl2br w:val="nil"/>
              <w:tr2bl w:val="nil"/>
            </w:tcBorders>
            <w:vAlign w:val="center"/>
          </w:tcPr>
          <w:p w14:paraId="0A524E24">
            <w:pPr>
              <w:spacing w:line="240" w:lineRule="auto"/>
              <w:ind w:firstLine="0" w:firstLineChars="0"/>
              <w:jc w:val="center"/>
              <w:rPr>
                <w:szCs w:val="21"/>
              </w:rPr>
            </w:pPr>
            <w:r>
              <w:rPr>
                <w:szCs w:val="21"/>
              </w:rPr>
              <w:t>东经113°9′12.249″，北纬29°16′39.594″</w:t>
            </w:r>
          </w:p>
        </w:tc>
      </w:tr>
      <w:tr w14:paraId="04290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168662D0">
            <w:pPr>
              <w:adjustRightInd w:val="0"/>
              <w:snapToGrid w:val="0"/>
              <w:spacing w:line="240" w:lineRule="auto"/>
              <w:ind w:firstLine="0" w:firstLineChars="0"/>
              <w:jc w:val="center"/>
              <w:rPr>
                <w:szCs w:val="21"/>
              </w:rPr>
            </w:pPr>
            <w:r>
              <w:rPr>
                <w:szCs w:val="21"/>
              </w:rPr>
              <w:t>国民经济</w:t>
            </w:r>
          </w:p>
          <w:p w14:paraId="301F3623">
            <w:pPr>
              <w:adjustRightInd w:val="0"/>
              <w:snapToGrid w:val="0"/>
              <w:spacing w:line="240" w:lineRule="auto"/>
              <w:ind w:firstLine="0" w:firstLineChars="0"/>
              <w:jc w:val="center"/>
              <w:rPr>
                <w:szCs w:val="21"/>
              </w:rPr>
            </w:pPr>
            <w:r>
              <w:rPr>
                <w:szCs w:val="21"/>
              </w:rPr>
              <w:t>行业类别</w:t>
            </w:r>
          </w:p>
        </w:tc>
        <w:tc>
          <w:tcPr>
            <w:tcW w:w="1012" w:type="pct"/>
            <w:tcBorders>
              <w:tl2br w:val="nil"/>
              <w:tr2bl w:val="nil"/>
            </w:tcBorders>
            <w:vAlign w:val="center"/>
          </w:tcPr>
          <w:p w14:paraId="25636B92">
            <w:pPr>
              <w:adjustRightInd w:val="0"/>
              <w:snapToGrid w:val="0"/>
              <w:spacing w:line="240" w:lineRule="auto"/>
              <w:ind w:firstLine="0" w:firstLineChars="0"/>
              <w:jc w:val="center"/>
              <w:rPr>
                <w:szCs w:val="21"/>
              </w:rPr>
            </w:pPr>
            <w:r>
              <w:rPr>
                <w:szCs w:val="21"/>
              </w:rPr>
              <w:t>O8219 其他清洁服务</w:t>
            </w:r>
          </w:p>
        </w:tc>
        <w:tc>
          <w:tcPr>
            <w:tcW w:w="1054" w:type="pct"/>
            <w:tcBorders>
              <w:tl2br w:val="nil"/>
              <w:tr2bl w:val="nil"/>
            </w:tcBorders>
            <w:vAlign w:val="center"/>
          </w:tcPr>
          <w:p w14:paraId="4F10BA1B">
            <w:pPr>
              <w:adjustRightInd w:val="0"/>
              <w:snapToGrid w:val="0"/>
              <w:spacing w:line="240" w:lineRule="auto"/>
              <w:ind w:firstLine="0" w:firstLineChars="0"/>
              <w:jc w:val="center"/>
              <w:rPr>
                <w:szCs w:val="21"/>
              </w:rPr>
            </w:pPr>
            <w:bookmarkStart w:id="8" w:name="_Hlk49843745"/>
            <w:r>
              <w:rPr>
                <w:szCs w:val="21"/>
              </w:rPr>
              <w:t>建设项目</w:t>
            </w:r>
          </w:p>
          <w:p w14:paraId="4A0EED30">
            <w:pPr>
              <w:adjustRightInd w:val="0"/>
              <w:snapToGrid w:val="0"/>
              <w:spacing w:line="240" w:lineRule="auto"/>
              <w:ind w:firstLine="0" w:firstLineChars="0"/>
              <w:jc w:val="center"/>
              <w:rPr>
                <w:szCs w:val="21"/>
              </w:rPr>
            </w:pPr>
            <w:r>
              <w:rPr>
                <w:szCs w:val="21"/>
              </w:rPr>
              <w:t>行业类别</w:t>
            </w:r>
            <w:bookmarkEnd w:id="8"/>
          </w:p>
        </w:tc>
        <w:tc>
          <w:tcPr>
            <w:tcW w:w="1804" w:type="pct"/>
            <w:tcBorders>
              <w:tl2br w:val="nil"/>
              <w:tr2bl w:val="nil"/>
            </w:tcBorders>
            <w:vAlign w:val="center"/>
          </w:tcPr>
          <w:p w14:paraId="7F2D8454">
            <w:pPr>
              <w:adjustRightInd w:val="0"/>
              <w:snapToGrid w:val="0"/>
              <w:spacing w:line="240" w:lineRule="auto"/>
              <w:ind w:firstLine="0" w:firstLineChars="0"/>
              <w:jc w:val="center"/>
              <w:rPr>
                <w:szCs w:val="21"/>
              </w:rPr>
            </w:pPr>
            <w:r>
              <w:rPr>
                <w:szCs w:val="21"/>
              </w:rPr>
              <w:t>四十一、电力、热力生产和供应业-91</w:t>
            </w:r>
            <w:r>
              <w:rPr>
                <w:rFonts w:hint="eastAsia"/>
                <w:szCs w:val="21"/>
              </w:rPr>
              <w:t>、</w:t>
            </w:r>
            <w:r>
              <w:rPr>
                <w:szCs w:val="21"/>
              </w:rPr>
              <w:t>热力生产和供应工程</w:t>
            </w:r>
            <w:r>
              <w:rPr>
                <w:rFonts w:hint="eastAsia"/>
                <w:szCs w:val="21"/>
              </w:rPr>
              <w:t>（</w:t>
            </w:r>
            <w:r>
              <w:rPr>
                <w:szCs w:val="21"/>
              </w:rPr>
              <w:t>包括建设单自建自用的供热工程</w:t>
            </w:r>
            <w:r>
              <w:rPr>
                <w:rFonts w:hint="eastAsia"/>
                <w:szCs w:val="21"/>
              </w:rPr>
              <w:t>）</w:t>
            </w:r>
            <w:r>
              <w:rPr>
                <w:szCs w:val="21"/>
              </w:rPr>
              <w:t>中的使用其他高污染燃料</w:t>
            </w:r>
          </w:p>
        </w:tc>
      </w:tr>
      <w:tr w14:paraId="3DB5A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6A41067F">
            <w:pPr>
              <w:adjustRightInd w:val="0"/>
              <w:snapToGrid w:val="0"/>
              <w:spacing w:line="240" w:lineRule="auto"/>
              <w:ind w:firstLine="0" w:firstLineChars="0"/>
              <w:jc w:val="center"/>
              <w:rPr>
                <w:szCs w:val="21"/>
              </w:rPr>
            </w:pPr>
            <w:r>
              <w:rPr>
                <w:szCs w:val="21"/>
              </w:rPr>
              <w:t>建设性质</w:t>
            </w:r>
          </w:p>
        </w:tc>
        <w:tc>
          <w:tcPr>
            <w:tcW w:w="1012" w:type="pct"/>
            <w:tcBorders>
              <w:tl2br w:val="nil"/>
              <w:tr2bl w:val="nil"/>
            </w:tcBorders>
            <w:vAlign w:val="center"/>
          </w:tcPr>
          <w:p w14:paraId="4A068369">
            <w:pPr>
              <w:spacing w:line="240" w:lineRule="auto"/>
              <w:ind w:firstLine="0" w:firstLineChars="0"/>
              <w:rPr>
                <w:szCs w:val="21"/>
              </w:rPr>
            </w:pPr>
            <w:r>
              <w:rPr>
                <w:rFonts w:hint="eastAsia"/>
                <w:szCs w:val="21"/>
              </w:rPr>
              <w:t>☑</w:t>
            </w:r>
            <w:r>
              <w:rPr>
                <w:szCs w:val="21"/>
              </w:rPr>
              <w:t>新建（迁建）</w:t>
            </w:r>
          </w:p>
          <w:p w14:paraId="205AAD94">
            <w:pPr>
              <w:spacing w:line="240" w:lineRule="auto"/>
              <w:ind w:firstLine="0" w:firstLineChars="0"/>
              <w:rPr>
                <w:szCs w:val="21"/>
              </w:rPr>
            </w:pPr>
            <w:r>
              <w:rPr>
                <w:rFonts w:hint="eastAsia"/>
                <w:szCs w:val="21"/>
              </w:rPr>
              <w:t>□</w:t>
            </w:r>
            <w:r>
              <w:rPr>
                <w:szCs w:val="21"/>
              </w:rPr>
              <w:t>改建</w:t>
            </w:r>
          </w:p>
          <w:p w14:paraId="0842A41B">
            <w:pPr>
              <w:spacing w:line="240" w:lineRule="auto"/>
              <w:ind w:firstLine="0" w:firstLineChars="0"/>
              <w:rPr>
                <w:szCs w:val="21"/>
              </w:rPr>
            </w:pPr>
            <w:r>
              <w:rPr>
                <w:rFonts w:hint="eastAsia"/>
                <w:szCs w:val="21"/>
              </w:rPr>
              <w:t>□</w:t>
            </w:r>
            <w:r>
              <w:rPr>
                <w:szCs w:val="21"/>
              </w:rPr>
              <w:t>扩建</w:t>
            </w:r>
          </w:p>
          <w:p w14:paraId="1FB9027A">
            <w:pPr>
              <w:spacing w:line="240" w:lineRule="auto"/>
              <w:ind w:firstLine="0" w:firstLineChars="0"/>
              <w:rPr>
                <w:szCs w:val="21"/>
              </w:rPr>
            </w:pPr>
            <w:r>
              <w:rPr>
                <w:rFonts w:hint="eastAsia"/>
                <w:szCs w:val="21"/>
              </w:rPr>
              <w:t>□</w:t>
            </w:r>
            <w:r>
              <w:rPr>
                <w:szCs w:val="21"/>
              </w:rPr>
              <w:t>技术改造</w:t>
            </w:r>
          </w:p>
        </w:tc>
        <w:tc>
          <w:tcPr>
            <w:tcW w:w="1054" w:type="pct"/>
            <w:tcBorders>
              <w:tl2br w:val="nil"/>
              <w:tr2bl w:val="nil"/>
            </w:tcBorders>
            <w:vAlign w:val="center"/>
          </w:tcPr>
          <w:p w14:paraId="4FF79A6E">
            <w:pPr>
              <w:adjustRightInd w:val="0"/>
              <w:snapToGrid w:val="0"/>
              <w:spacing w:line="240" w:lineRule="auto"/>
              <w:ind w:firstLine="0" w:firstLineChars="0"/>
              <w:jc w:val="center"/>
              <w:rPr>
                <w:szCs w:val="21"/>
              </w:rPr>
            </w:pPr>
            <w:r>
              <w:rPr>
                <w:szCs w:val="21"/>
              </w:rPr>
              <w:t>建设项目</w:t>
            </w:r>
          </w:p>
          <w:p w14:paraId="3DD36FBA">
            <w:pPr>
              <w:adjustRightInd w:val="0"/>
              <w:snapToGrid w:val="0"/>
              <w:spacing w:line="240" w:lineRule="auto"/>
              <w:ind w:firstLine="0" w:firstLineChars="0"/>
              <w:jc w:val="center"/>
              <w:rPr>
                <w:szCs w:val="21"/>
              </w:rPr>
            </w:pPr>
            <w:r>
              <w:rPr>
                <w:szCs w:val="21"/>
              </w:rPr>
              <w:t>申报情形</w:t>
            </w:r>
          </w:p>
        </w:tc>
        <w:tc>
          <w:tcPr>
            <w:tcW w:w="1804" w:type="pct"/>
            <w:tcBorders>
              <w:tl2br w:val="nil"/>
              <w:tr2bl w:val="nil"/>
            </w:tcBorders>
            <w:vAlign w:val="center"/>
          </w:tcPr>
          <w:p w14:paraId="3B2C0CCF">
            <w:pPr>
              <w:spacing w:line="240" w:lineRule="auto"/>
              <w:ind w:firstLine="0" w:firstLineChars="0"/>
              <w:rPr>
                <w:szCs w:val="21"/>
              </w:rPr>
            </w:pPr>
            <w:r>
              <w:rPr>
                <w:szCs w:val="21"/>
              </w:rPr>
              <w:t>☑首次申报项目</w:t>
            </w:r>
          </w:p>
          <w:p w14:paraId="5CED54A9">
            <w:pPr>
              <w:spacing w:line="240" w:lineRule="auto"/>
              <w:ind w:firstLine="0" w:firstLineChars="0"/>
              <w:rPr>
                <w:szCs w:val="21"/>
              </w:rPr>
            </w:pPr>
            <w:r>
              <w:rPr>
                <w:rFonts w:hint="eastAsia"/>
                <w:szCs w:val="21"/>
              </w:rPr>
              <w:t>□</w:t>
            </w:r>
            <w:r>
              <w:rPr>
                <w:szCs w:val="21"/>
              </w:rPr>
              <w:t>不予批准后再次申报项目</w:t>
            </w:r>
          </w:p>
          <w:p w14:paraId="2F9D7350">
            <w:pPr>
              <w:spacing w:line="240" w:lineRule="auto"/>
              <w:ind w:firstLine="0" w:firstLineChars="0"/>
              <w:rPr>
                <w:szCs w:val="21"/>
              </w:rPr>
            </w:pPr>
            <w:r>
              <w:rPr>
                <w:rFonts w:hint="eastAsia"/>
                <w:szCs w:val="21"/>
              </w:rPr>
              <w:t>□</w:t>
            </w:r>
            <w:r>
              <w:rPr>
                <w:szCs w:val="21"/>
              </w:rPr>
              <w:t>超五年重新审核项目</w:t>
            </w:r>
          </w:p>
          <w:p w14:paraId="445427B3">
            <w:pPr>
              <w:spacing w:line="240" w:lineRule="auto"/>
              <w:ind w:firstLine="0" w:firstLineChars="0"/>
              <w:rPr>
                <w:szCs w:val="21"/>
              </w:rPr>
            </w:pPr>
            <w:r>
              <w:rPr>
                <w:rFonts w:hint="eastAsia"/>
                <w:szCs w:val="21"/>
              </w:rPr>
              <w:t>□</w:t>
            </w:r>
            <w:r>
              <w:rPr>
                <w:szCs w:val="21"/>
              </w:rPr>
              <w:t>重大变动重新报批项目</w:t>
            </w:r>
          </w:p>
        </w:tc>
      </w:tr>
      <w:tr w14:paraId="48913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1ABB4BED">
            <w:pPr>
              <w:adjustRightInd w:val="0"/>
              <w:snapToGrid w:val="0"/>
              <w:spacing w:line="240" w:lineRule="auto"/>
              <w:ind w:firstLine="0" w:firstLineChars="0"/>
              <w:jc w:val="center"/>
              <w:rPr>
                <w:szCs w:val="21"/>
              </w:rPr>
            </w:pPr>
            <w:r>
              <w:rPr>
                <w:szCs w:val="21"/>
              </w:rPr>
              <w:t>项目审批</w:t>
            </w:r>
            <w:r>
              <w:rPr>
                <w:rFonts w:hint="eastAsia"/>
                <w:szCs w:val="21"/>
              </w:rPr>
              <w:t>（</w:t>
            </w:r>
            <w:r>
              <w:rPr>
                <w:szCs w:val="21"/>
              </w:rPr>
              <w:t>核准/</w:t>
            </w:r>
          </w:p>
          <w:p w14:paraId="78DE7596">
            <w:pPr>
              <w:adjustRightInd w:val="0"/>
              <w:snapToGrid w:val="0"/>
              <w:spacing w:line="240" w:lineRule="auto"/>
              <w:ind w:firstLine="0" w:firstLineChars="0"/>
              <w:jc w:val="center"/>
              <w:rPr>
                <w:szCs w:val="21"/>
              </w:rPr>
            </w:pPr>
            <w:r>
              <w:rPr>
                <w:szCs w:val="21"/>
              </w:rPr>
              <w:t>备案）部门</w:t>
            </w:r>
            <w:r>
              <w:rPr>
                <w:rFonts w:hint="eastAsia"/>
                <w:szCs w:val="21"/>
              </w:rPr>
              <w:t>（</w:t>
            </w:r>
            <w:r>
              <w:rPr>
                <w:szCs w:val="21"/>
              </w:rPr>
              <w:t>选填）</w:t>
            </w:r>
          </w:p>
        </w:tc>
        <w:tc>
          <w:tcPr>
            <w:tcW w:w="1012" w:type="pct"/>
            <w:tcBorders>
              <w:tl2br w:val="nil"/>
              <w:tr2bl w:val="nil"/>
            </w:tcBorders>
            <w:vAlign w:val="center"/>
          </w:tcPr>
          <w:p w14:paraId="3473C0C2">
            <w:pPr>
              <w:adjustRightInd w:val="0"/>
              <w:snapToGrid w:val="0"/>
              <w:spacing w:line="240" w:lineRule="auto"/>
              <w:ind w:firstLine="0" w:firstLineChars="0"/>
              <w:jc w:val="center"/>
              <w:rPr>
                <w:szCs w:val="21"/>
              </w:rPr>
            </w:pPr>
            <w:r>
              <w:rPr>
                <w:rFonts w:hint="eastAsia"/>
                <w:szCs w:val="21"/>
              </w:rPr>
              <w:t>/</w:t>
            </w:r>
          </w:p>
        </w:tc>
        <w:tc>
          <w:tcPr>
            <w:tcW w:w="1054" w:type="pct"/>
            <w:tcBorders>
              <w:tl2br w:val="nil"/>
              <w:tr2bl w:val="nil"/>
            </w:tcBorders>
            <w:vAlign w:val="center"/>
          </w:tcPr>
          <w:p w14:paraId="70EC2169">
            <w:pPr>
              <w:adjustRightInd w:val="0"/>
              <w:snapToGrid w:val="0"/>
              <w:spacing w:line="240" w:lineRule="auto"/>
              <w:ind w:firstLine="0" w:firstLineChars="0"/>
              <w:jc w:val="center"/>
              <w:rPr>
                <w:szCs w:val="21"/>
              </w:rPr>
            </w:pPr>
            <w:r>
              <w:rPr>
                <w:szCs w:val="21"/>
              </w:rPr>
              <w:t>项目审批</w:t>
            </w:r>
            <w:r>
              <w:rPr>
                <w:rFonts w:hint="eastAsia"/>
                <w:szCs w:val="21"/>
              </w:rPr>
              <w:t>（</w:t>
            </w:r>
            <w:r>
              <w:rPr>
                <w:szCs w:val="21"/>
              </w:rPr>
              <w:t>核准/</w:t>
            </w:r>
          </w:p>
          <w:p w14:paraId="77C9D2A8">
            <w:pPr>
              <w:adjustRightInd w:val="0"/>
              <w:snapToGrid w:val="0"/>
              <w:spacing w:line="240" w:lineRule="auto"/>
              <w:ind w:firstLine="0" w:firstLineChars="0"/>
              <w:jc w:val="center"/>
              <w:rPr>
                <w:szCs w:val="21"/>
              </w:rPr>
            </w:pPr>
            <w:r>
              <w:rPr>
                <w:szCs w:val="21"/>
              </w:rPr>
              <w:t>备案）文号</w:t>
            </w:r>
            <w:r>
              <w:rPr>
                <w:rFonts w:hint="eastAsia"/>
                <w:szCs w:val="21"/>
              </w:rPr>
              <w:t>（</w:t>
            </w:r>
            <w:r>
              <w:rPr>
                <w:szCs w:val="21"/>
              </w:rPr>
              <w:t>选填）</w:t>
            </w:r>
          </w:p>
        </w:tc>
        <w:tc>
          <w:tcPr>
            <w:tcW w:w="1804" w:type="pct"/>
            <w:tcBorders>
              <w:tl2br w:val="nil"/>
              <w:tr2bl w:val="nil"/>
            </w:tcBorders>
            <w:vAlign w:val="center"/>
          </w:tcPr>
          <w:p w14:paraId="220BC7E9">
            <w:pPr>
              <w:adjustRightInd w:val="0"/>
              <w:snapToGrid w:val="0"/>
              <w:spacing w:line="240" w:lineRule="auto"/>
              <w:ind w:firstLine="0" w:firstLineChars="0"/>
              <w:jc w:val="center"/>
              <w:rPr>
                <w:szCs w:val="21"/>
              </w:rPr>
            </w:pPr>
            <w:r>
              <w:rPr>
                <w:rFonts w:hint="eastAsia"/>
                <w:szCs w:val="21"/>
              </w:rPr>
              <w:t>/</w:t>
            </w:r>
          </w:p>
        </w:tc>
      </w:tr>
      <w:tr w14:paraId="1D2CA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34E60A35">
            <w:pPr>
              <w:adjustRightInd w:val="0"/>
              <w:snapToGrid w:val="0"/>
              <w:spacing w:line="240" w:lineRule="auto"/>
              <w:ind w:firstLine="0" w:firstLineChars="0"/>
              <w:jc w:val="center"/>
              <w:rPr>
                <w:szCs w:val="21"/>
              </w:rPr>
            </w:pPr>
            <w:r>
              <w:rPr>
                <w:szCs w:val="21"/>
              </w:rPr>
              <w:t>总投资</w:t>
            </w:r>
            <w:r>
              <w:rPr>
                <w:rFonts w:hint="eastAsia"/>
                <w:szCs w:val="21"/>
              </w:rPr>
              <w:t>（</w:t>
            </w:r>
            <w:r>
              <w:rPr>
                <w:szCs w:val="21"/>
              </w:rPr>
              <w:t>万元）</w:t>
            </w:r>
          </w:p>
        </w:tc>
        <w:tc>
          <w:tcPr>
            <w:tcW w:w="1012" w:type="pct"/>
            <w:tcBorders>
              <w:tl2br w:val="nil"/>
              <w:tr2bl w:val="nil"/>
            </w:tcBorders>
            <w:vAlign w:val="center"/>
          </w:tcPr>
          <w:p w14:paraId="686944AA">
            <w:pPr>
              <w:adjustRightInd w:val="0"/>
              <w:snapToGrid w:val="0"/>
              <w:spacing w:line="240" w:lineRule="auto"/>
              <w:ind w:firstLine="0" w:firstLineChars="0"/>
              <w:jc w:val="center"/>
              <w:rPr>
                <w:szCs w:val="21"/>
              </w:rPr>
            </w:pPr>
            <w:r>
              <w:rPr>
                <w:rFonts w:hint="eastAsia"/>
                <w:szCs w:val="21"/>
              </w:rPr>
              <w:t>300</w:t>
            </w:r>
          </w:p>
        </w:tc>
        <w:tc>
          <w:tcPr>
            <w:tcW w:w="1054" w:type="pct"/>
            <w:tcBorders>
              <w:tl2br w:val="nil"/>
              <w:tr2bl w:val="nil"/>
            </w:tcBorders>
            <w:tcMar>
              <w:top w:w="16" w:type="dxa"/>
              <w:left w:w="16" w:type="dxa"/>
              <w:right w:w="16" w:type="dxa"/>
            </w:tcMar>
            <w:vAlign w:val="center"/>
          </w:tcPr>
          <w:p w14:paraId="079E4A71">
            <w:pPr>
              <w:adjustRightInd w:val="0"/>
              <w:snapToGrid w:val="0"/>
              <w:spacing w:line="240" w:lineRule="auto"/>
              <w:ind w:firstLine="0" w:firstLineChars="0"/>
              <w:jc w:val="center"/>
              <w:rPr>
                <w:szCs w:val="21"/>
              </w:rPr>
            </w:pPr>
            <w:r>
              <w:rPr>
                <w:szCs w:val="21"/>
              </w:rPr>
              <w:t>环保投资</w:t>
            </w:r>
            <w:r>
              <w:rPr>
                <w:rFonts w:hint="eastAsia"/>
                <w:szCs w:val="21"/>
              </w:rPr>
              <w:t>（</w:t>
            </w:r>
            <w:r>
              <w:rPr>
                <w:szCs w:val="21"/>
              </w:rPr>
              <w:t>万元）</w:t>
            </w:r>
          </w:p>
        </w:tc>
        <w:tc>
          <w:tcPr>
            <w:tcW w:w="1804" w:type="pct"/>
            <w:tcBorders>
              <w:tl2br w:val="nil"/>
              <w:tr2bl w:val="nil"/>
            </w:tcBorders>
            <w:vAlign w:val="center"/>
          </w:tcPr>
          <w:p w14:paraId="47449092">
            <w:pPr>
              <w:adjustRightInd w:val="0"/>
              <w:snapToGrid w:val="0"/>
              <w:spacing w:line="240" w:lineRule="auto"/>
              <w:ind w:firstLine="0" w:firstLineChars="0"/>
              <w:jc w:val="center"/>
              <w:rPr>
                <w:szCs w:val="21"/>
                <w:highlight w:val="yellow"/>
              </w:rPr>
            </w:pPr>
            <w:r>
              <w:rPr>
                <w:rFonts w:hint="eastAsia"/>
                <w:szCs w:val="21"/>
              </w:rPr>
              <w:t>20</w:t>
            </w:r>
          </w:p>
        </w:tc>
      </w:tr>
      <w:tr w14:paraId="7C508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59A02CE9">
            <w:pPr>
              <w:adjustRightInd w:val="0"/>
              <w:snapToGrid w:val="0"/>
              <w:spacing w:line="240" w:lineRule="auto"/>
              <w:ind w:firstLine="0" w:firstLineChars="0"/>
              <w:jc w:val="center"/>
              <w:rPr>
                <w:szCs w:val="21"/>
              </w:rPr>
            </w:pPr>
            <w:r>
              <w:rPr>
                <w:szCs w:val="21"/>
              </w:rPr>
              <w:t>环保投资占比</w:t>
            </w:r>
          </w:p>
        </w:tc>
        <w:tc>
          <w:tcPr>
            <w:tcW w:w="1012" w:type="pct"/>
            <w:tcBorders>
              <w:tl2br w:val="nil"/>
              <w:tr2bl w:val="nil"/>
            </w:tcBorders>
            <w:vAlign w:val="center"/>
          </w:tcPr>
          <w:p w14:paraId="73641DE5">
            <w:pPr>
              <w:adjustRightInd w:val="0"/>
              <w:snapToGrid w:val="0"/>
              <w:spacing w:line="240" w:lineRule="auto"/>
              <w:ind w:firstLine="0" w:firstLineChars="0"/>
              <w:jc w:val="center"/>
              <w:rPr>
                <w:szCs w:val="21"/>
              </w:rPr>
            </w:pPr>
            <w:r>
              <w:rPr>
                <w:rFonts w:hint="eastAsia"/>
                <w:szCs w:val="21"/>
              </w:rPr>
              <w:t>6.67%</w:t>
            </w:r>
          </w:p>
        </w:tc>
        <w:tc>
          <w:tcPr>
            <w:tcW w:w="1054" w:type="pct"/>
            <w:tcBorders>
              <w:tl2br w:val="nil"/>
              <w:tr2bl w:val="nil"/>
            </w:tcBorders>
            <w:tcMar>
              <w:top w:w="16" w:type="dxa"/>
              <w:left w:w="16" w:type="dxa"/>
              <w:right w:w="16" w:type="dxa"/>
            </w:tcMar>
            <w:vAlign w:val="center"/>
          </w:tcPr>
          <w:p w14:paraId="532EEC79">
            <w:pPr>
              <w:adjustRightInd w:val="0"/>
              <w:snapToGrid w:val="0"/>
              <w:spacing w:line="240" w:lineRule="auto"/>
              <w:ind w:firstLine="0" w:firstLineChars="0"/>
              <w:jc w:val="center"/>
              <w:rPr>
                <w:szCs w:val="21"/>
              </w:rPr>
            </w:pPr>
            <w:r>
              <w:rPr>
                <w:szCs w:val="21"/>
              </w:rPr>
              <w:t>施工工期</w:t>
            </w:r>
          </w:p>
        </w:tc>
        <w:tc>
          <w:tcPr>
            <w:tcW w:w="1804" w:type="pct"/>
            <w:tcBorders>
              <w:tl2br w:val="nil"/>
              <w:tr2bl w:val="nil"/>
            </w:tcBorders>
            <w:vAlign w:val="center"/>
          </w:tcPr>
          <w:p w14:paraId="17933845">
            <w:pPr>
              <w:adjustRightInd w:val="0"/>
              <w:snapToGrid w:val="0"/>
              <w:spacing w:line="240" w:lineRule="auto"/>
              <w:ind w:firstLine="0" w:firstLineChars="0"/>
              <w:jc w:val="center"/>
              <w:rPr>
                <w:szCs w:val="21"/>
                <w:highlight w:val="yellow"/>
              </w:rPr>
            </w:pPr>
            <w:r>
              <w:rPr>
                <w:rFonts w:hint="eastAsia"/>
                <w:szCs w:val="21"/>
              </w:rPr>
              <w:t>3</w:t>
            </w:r>
            <w:r>
              <w:rPr>
                <w:szCs w:val="21"/>
              </w:rPr>
              <w:t>个月</w:t>
            </w:r>
          </w:p>
        </w:tc>
      </w:tr>
      <w:tr w14:paraId="2D2A6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113" w:type="pct"/>
            <w:tcBorders>
              <w:tl2br w:val="nil"/>
              <w:tr2bl w:val="nil"/>
            </w:tcBorders>
            <w:tcMar>
              <w:top w:w="16" w:type="dxa"/>
              <w:left w:w="16" w:type="dxa"/>
              <w:right w:w="16" w:type="dxa"/>
            </w:tcMar>
            <w:vAlign w:val="center"/>
          </w:tcPr>
          <w:p w14:paraId="0D85EB1C">
            <w:pPr>
              <w:adjustRightInd w:val="0"/>
              <w:snapToGrid w:val="0"/>
              <w:spacing w:line="240" w:lineRule="auto"/>
              <w:ind w:firstLine="0" w:firstLineChars="0"/>
              <w:jc w:val="center"/>
              <w:rPr>
                <w:szCs w:val="21"/>
              </w:rPr>
            </w:pPr>
            <w:r>
              <w:rPr>
                <w:szCs w:val="21"/>
              </w:rPr>
              <w:t>是否开工建设</w:t>
            </w:r>
          </w:p>
        </w:tc>
        <w:tc>
          <w:tcPr>
            <w:tcW w:w="1012" w:type="pct"/>
            <w:tcBorders>
              <w:tl2br w:val="nil"/>
              <w:tr2bl w:val="nil"/>
            </w:tcBorders>
            <w:vAlign w:val="center"/>
          </w:tcPr>
          <w:p w14:paraId="5C22B672">
            <w:pPr>
              <w:adjustRightInd w:val="0"/>
              <w:snapToGrid w:val="0"/>
              <w:spacing w:line="240" w:lineRule="auto"/>
              <w:ind w:firstLine="0" w:firstLineChars="0"/>
              <w:jc w:val="left"/>
              <w:rPr>
                <w:szCs w:val="21"/>
              </w:rPr>
            </w:pPr>
            <w:r>
              <w:rPr>
                <w:rFonts w:hint="eastAsia"/>
                <w:szCs w:val="21"/>
              </w:rPr>
              <w:t>☑</w:t>
            </w:r>
            <w:r>
              <w:rPr>
                <w:szCs w:val="21"/>
              </w:rPr>
              <w:t>否</w:t>
            </w:r>
          </w:p>
          <w:p w14:paraId="61B8F54E">
            <w:pPr>
              <w:adjustRightInd w:val="0"/>
              <w:snapToGrid w:val="0"/>
              <w:spacing w:line="240" w:lineRule="auto"/>
              <w:ind w:firstLine="0" w:firstLineChars="0"/>
              <w:jc w:val="left"/>
              <w:rPr>
                <w:szCs w:val="21"/>
              </w:rPr>
            </w:pPr>
            <w:r>
              <w:rPr>
                <w:rFonts w:hint="eastAsia"/>
                <w:szCs w:val="21"/>
              </w:rPr>
              <w:t>□</w:t>
            </w:r>
            <w:r>
              <w:rPr>
                <w:szCs w:val="21"/>
              </w:rPr>
              <w:t>是</w:t>
            </w:r>
          </w:p>
        </w:tc>
        <w:tc>
          <w:tcPr>
            <w:tcW w:w="1054" w:type="pct"/>
            <w:tcBorders>
              <w:tl2br w:val="nil"/>
              <w:tr2bl w:val="nil"/>
            </w:tcBorders>
            <w:tcMar>
              <w:top w:w="16" w:type="dxa"/>
              <w:left w:w="16" w:type="dxa"/>
              <w:right w:w="16" w:type="dxa"/>
            </w:tcMar>
            <w:vAlign w:val="center"/>
          </w:tcPr>
          <w:p w14:paraId="266A0D76">
            <w:pPr>
              <w:adjustRightInd w:val="0"/>
              <w:snapToGrid w:val="0"/>
              <w:spacing w:line="240" w:lineRule="auto"/>
              <w:ind w:firstLine="0" w:firstLineChars="0"/>
              <w:jc w:val="center"/>
              <w:rPr>
                <w:szCs w:val="21"/>
              </w:rPr>
            </w:pPr>
            <w:r>
              <w:rPr>
                <w:spacing w:val="-6"/>
                <w:szCs w:val="21"/>
              </w:rPr>
              <w:t>用地面积</w:t>
            </w:r>
            <w:r>
              <w:rPr>
                <w:rFonts w:hint="eastAsia"/>
                <w:spacing w:val="-6"/>
                <w:szCs w:val="21"/>
              </w:rPr>
              <w:t>（m</w:t>
            </w:r>
            <w:r>
              <w:rPr>
                <w:rFonts w:hint="eastAsia"/>
                <w:spacing w:val="-6"/>
                <w:szCs w:val="21"/>
                <w:vertAlign w:val="superscript"/>
              </w:rPr>
              <w:t>2</w:t>
            </w:r>
            <w:r>
              <w:rPr>
                <w:spacing w:val="-6"/>
                <w:szCs w:val="21"/>
              </w:rPr>
              <w:t>）</w:t>
            </w:r>
          </w:p>
        </w:tc>
        <w:tc>
          <w:tcPr>
            <w:tcW w:w="1804" w:type="pct"/>
            <w:tcBorders>
              <w:tl2br w:val="nil"/>
              <w:tr2bl w:val="nil"/>
            </w:tcBorders>
            <w:tcMar>
              <w:top w:w="16" w:type="dxa"/>
              <w:left w:w="16" w:type="dxa"/>
              <w:right w:w="16" w:type="dxa"/>
            </w:tcMar>
            <w:vAlign w:val="center"/>
          </w:tcPr>
          <w:p w14:paraId="4CFA4AF7">
            <w:pPr>
              <w:adjustRightInd w:val="0"/>
              <w:snapToGrid w:val="0"/>
              <w:spacing w:line="240" w:lineRule="auto"/>
              <w:ind w:firstLine="0" w:firstLineChars="0"/>
              <w:jc w:val="center"/>
              <w:rPr>
                <w:szCs w:val="21"/>
                <w:highlight w:val="yellow"/>
              </w:rPr>
            </w:pPr>
            <w:r>
              <w:rPr>
                <w:rFonts w:hint="eastAsia"/>
                <w:szCs w:val="21"/>
              </w:rPr>
              <w:t>1317.215</w:t>
            </w:r>
          </w:p>
        </w:tc>
      </w:tr>
      <w:tr w14:paraId="5F4A9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113" w:type="pct"/>
            <w:tcBorders>
              <w:tl2br w:val="nil"/>
              <w:tr2bl w:val="nil"/>
            </w:tcBorders>
            <w:vAlign w:val="center"/>
          </w:tcPr>
          <w:p w14:paraId="610296CD">
            <w:pPr>
              <w:adjustRightInd w:val="0"/>
              <w:snapToGrid w:val="0"/>
              <w:spacing w:line="240" w:lineRule="auto"/>
              <w:ind w:firstLine="0" w:firstLineChars="0"/>
              <w:jc w:val="center"/>
              <w:rPr>
                <w:kern w:val="0"/>
                <w:szCs w:val="21"/>
              </w:rPr>
            </w:pPr>
            <w:r>
              <w:rPr>
                <w:kern w:val="0"/>
                <w:szCs w:val="21"/>
              </w:rPr>
              <w:t>专项评价</w:t>
            </w:r>
          </w:p>
          <w:p w14:paraId="1DF561CA">
            <w:pPr>
              <w:adjustRightInd w:val="0"/>
              <w:snapToGrid w:val="0"/>
              <w:spacing w:line="240" w:lineRule="auto"/>
              <w:ind w:firstLine="0" w:firstLineChars="0"/>
              <w:jc w:val="center"/>
              <w:rPr>
                <w:kern w:val="0"/>
                <w:szCs w:val="21"/>
              </w:rPr>
            </w:pPr>
            <w:r>
              <w:rPr>
                <w:kern w:val="0"/>
                <w:szCs w:val="21"/>
              </w:rPr>
              <w:t>设置情况</w:t>
            </w:r>
          </w:p>
        </w:tc>
        <w:tc>
          <w:tcPr>
            <w:tcW w:w="3872" w:type="pct"/>
            <w:gridSpan w:val="3"/>
            <w:tcBorders>
              <w:tl2br w:val="nil"/>
              <w:tr2bl w:val="nil"/>
            </w:tcBorders>
            <w:vAlign w:val="center"/>
          </w:tcPr>
          <w:p w14:paraId="13B2B521">
            <w:pPr>
              <w:adjustRightInd w:val="0"/>
              <w:snapToGrid w:val="0"/>
              <w:spacing w:line="240" w:lineRule="auto"/>
              <w:ind w:firstLine="0" w:firstLineChars="0"/>
              <w:jc w:val="center"/>
              <w:rPr>
                <w:kern w:val="0"/>
                <w:szCs w:val="21"/>
              </w:rPr>
            </w:pPr>
            <w:r>
              <w:rPr>
                <w:kern w:val="0"/>
                <w:szCs w:val="21"/>
              </w:rPr>
              <w:t>无</w:t>
            </w:r>
          </w:p>
        </w:tc>
      </w:tr>
      <w:tr w14:paraId="2C796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113" w:type="pct"/>
            <w:tcBorders>
              <w:tl2br w:val="nil"/>
              <w:tr2bl w:val="nil"/>
            </w:tcBorders>
            <w:vAlign w:val="center"/>
          </w:tcPr>
          <w:p w14:paraId="1BDAE139">
            <w:pPr>
              <w:adjustRightInd w:val="0"/>
              <w:snapToGrid w:val="0"/>
              <w:spacing w:line="240" w:lineRule="auto"/>
              <w:ind w:firstLine="0" w:firstLineChars="0"/>
              <w:jc w:val="center"/>
              <w:rPr>
                <w:kern w:val="0"/>
                <w:szCs w:val="21"/>
              </w:rPr>
            </w:pPr>
            <w:r>
              <w:rPr>
                <w:szCs w:val="21"/>
              </w:rPr>
              <w:t>规划情况</w:t>
            </w:r>
          </w:p>
        </w:tc>
        <w:tc>
          <w:tcPr>
            <w:tcW w:w="3872" w:type="pct"/>
            <w:gridSpan w:val="3"/>
            <w:tcBorders>
              <w:tl2br w:val="nil"/>
              <w:tr2bl w:val="nil"/>
            </w:tcBorders>
            <w:vAlign w:val="center"/>
          </w:tcPr>
          <w:p w14:paraId="23F4D0A5">
            <w:pPr>
              <w:adjustRightInd w:val="0"/>
              <w:snapToGrid w:val="0"/>
              <w:spacing w:line="240" w:lineRule="auto"/>
              <w:ind w:firstLine="0" w:firstLineChars="0"/>
              <w:jc w:val="center"/>
              <w:rPr>
                <w:kern w:val="0"/>
                <w:szCs w:val="21"/>
              </w:rPr>
            </w:pPr>
            <w:r>
              <w:rPr>
                <w:rFonts w:hint="eastAsia"/>
                <w:kern w:val="0"/>
                <w:szCs w:val="21"/>
              </w:rPr>
              <w:t>无</w:t>
            </w:r>
          </w:p>
        </w:tc>
      </w:tr>
      <w:tr w14:paraId="676AB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113" w:type="pct"/>
            <w:tcBorders>
              <w:tl2br w:val="nil"/>
              <w:tr2bl w:val="nil"/>
            </w:tcBorders>
            <w:vAlign w:val="center"/>
          </w:tcPr>
          <w:p w14:paraId="6CF10C3A">
            <w:pPr>
              <w:adjustRightInd w:val="0"/>
              <w:snapToGrid w:val="0"/>
              <w:spacing w:line="240" w:lineRule="auto"/>
              <w:ind w:firstLine="0" w:firstLineChars="0"/>
              <w:jc w:val="center"/>
              <w:rPr>
                <w:szCs w:val="21"/>
              </w:rPr>
            </w:pPr>
            <w:r>
              <w:rPr>
                <w:szCs w:val="21"/>
              </w:rPr>
              <w:t>规划环境影响</w:t>
            </w:r>
          </w:p>
          <w:p w14:paraId="39E35A16">
            <w:pPr>
              <w:adjustRightInd w:val="0"/>
              <w:snapToGrid w:val="0"/>
              <w:spacing w:line="240" w:lineRule="auto"/>
              <w:ind w:firstLine="0" w:firstLineChars="0"/>
              <w:jc w:val="center"/>
              <w:rPr>
                <w:kern w:val="0"/>
                <w:szCs w:val="21"/>
              </w:rPr>
            </w:pPr>
            <w:r>
              <w:rPr>
                <w:szCs w:val="21"/>
              </w:rPr>
              <w:t>评价情况</w:t>
            </w:r>
          </w:p>
        </w:tc>
        <w:tc>
          <w:tcPr>
            <w:tcW w:w="3872" w:type="pct"/>
            <w:gridSpan w:val="3"/>
            <w:tcBorders>
              <w:tl2br w:val="nil"/>
              <w:tr2bl w:val="nil"/>
            </w:tcBorders>
            <w:vAlign w:val="center"/>
          </w:tcPr>
          <w:p w14:paraId="7E0AAC16">
            <w:pPr>
              <w:adjustRightInd w:val="0"/>
              <w:snapToGrid w:val="0"/>
              <w:spacing w:line="240" w:lineRule="auto"/>
              <w:ind w:firstLine="0" w:firstLineChars="0"/>
              <w:jc w:val="center"/>
              <w:rPr>
                <w:kern w:val="0"/>
                <w:szCs w:val="21"/>
              </w:rPr>
            </w:pPr>
            <w:r>
              <w:rPr>
                <w:kern w:val="0"/>
                <w:szCs w:val="21"/>
              </w:rPr>
              <w:t>无</w:t>
            </w:r>
          </w:p>
        </w:tc>
      </w:tr>
      <w:tr w14:paraId="4CEEB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1113" w:type="pct"/>
            <w:tcBorders>
              <w:tl2br w:val="nil"/>
              <w:tr2bl w:val="nil"/>
            </w:tcBorders>
            <w:vAlign w:val="center"/>
          </w:tcPr>
          <w:p w14:paraId="4D5855B4">
            <w:pPr>
              <w:adjustRightInd w:val="0"/>
              <w:snapToGrid w:val="0"/>
              <w:spacing w:line="240" w:lineRule="auto"/>
              <w:ind w:firstLine="0" w:firstLineChars="0"/>
              <w:jc w:val="center"/>
              <w:rPr>
                <w:kern w:val="0"/>
                <w:szCs w:val="21"/>
              </w:rPr>
            </w:pPr>
            <w:r>
              <w:rPr>
                <w:kern w:val="0"/>
                <w:szCs w:val="21"/>
              </w:rPr>
              <w:br w:type="page"/>
            </w:r>
            <w:r>
              <w:rPr>
                <w:kern w:val="0"/>
                <w:szCs w:val="21"/>
              </w:rPr>
              <w:br w:type="page"/>
            </w:r>
            <w:r>
              <w:rPr>
                <w:kern w:val="0"/>
                <w:szCs w:val="21"/>
              </w:rPr>
              <w:t>规划及规划环境影响评价符合性分析</w:t>
            </w:r>
          </w:p>
        </w:tc>
        <w:tc>
          <w:tcPr>
            <w:tcW w:w="3872" w:type="pct"/>
            <w:gridSpan w:val="3"/>
            <w:tcBorders>
              <w:tl2br w:val="nil"/>
              <w:tr2bl w:val="nil"/>
            </w:tcBorders>
            <w:vAlign w:val="center"/>
          </w:tcPr>
          <w:p w14:paraId="178E7B51">
            <w:pPr>
              <w:pStyle w:val="3"/>
              <w:ind w:firstLine="0" w:firstLineChars="0"/>
              <w:jc w:val="center"/>
            </w:pPr>
            <w:r>
              <w:rPr>
                <w:rFonts w:hint="eastAsia"/>
              </w:rPr>
              <w:t>无</w:t>
            </w:r>
          </w:p>
        </w:tc>
      </w:tr>
      <w:tr w14:paraId="20894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3" w:type="pct"/>
            <w:tcBorders>
              <w:tl2br w:val="nil"/>
              <w:tr2bl w:val="nil"/>
            </w:tcBorders>
            <w:vAlign w:val="center"/>
          </w:tcPr>
          <w:p w14:paraId="29FE7ABE">
            <w:pPr>
              <w:adjustRightInd w:val="0"/>
              <w:snapToGrid w:val="0"/>
              <w:spacing w:line="240" w:lineRule="auto"/>
              <w:ind w:firstLine="0" w:firstLineChars="0"/>
              <w:jc w:val="center"/>
              <w:rPr>
                <w:kern w:val="0"/>
                <w:szCs w:val="21"/>
              </w:rPr>
            </w:pPr>
            <w:r>
              <w:rPr>
                <w:kern w:val="0"/>
                <w:szCs w:val="21"/>
              </w:rPr>
              <w:t>其他符合性分析</w:t>
            </w:r>
          </w:p>
        </w:tc>
        <w:tc>
          <w:tcPr>
            <w:tcW w:w="3872" w:type="pct"/>
            <w:gridSpan w:val="3"/>
            <w:tcBorders>
              <w:tl2br w:val="nil"/>
              <w:tr2bl w:val="nil"/>
            </w:tcBorders>
            <w:vAlign w:val="center"/>
          </w:tcPr>
          <w:p w14:paraId="3C520CC4">
            <w:pPr>
              <w:pStyle w:val="16"/>
              <w:ind w:firstLine="482"/>
            </w:pPr>
            <w:r>
              <w:t>1、产业政策符合性分析</w:t>
            </w:r>
          </w:p>
          <w:p w14:paraId="56125087">
            <w:pPr>
              <w:pStyle w:val="17"/>
              <w:ind w:firstLine="480"/>
            </w:pPr>
            <w:r>
              <w:t>对照《产业结构调整指导目录》（2024年本），本项目所属行业和工艺设备不在“限制类”和“淘汰类”之列，因此项目建设符合国家产业政策要求。对照工信部《高耗能落后机电设备（产品）淘汰目录》第一批、第二批、第三批，本项目所用设备不属于其中的淘汰落后设备</w:t>
            </w:r>
            <w:r>
              <w:rPr>
                <w:rFonts w:hint="eastAsia"/>
              </w:rPr>
              <w:t>，</w:t>
            </w:r>
            <w:r>
              <w:t>符合国家产业政策</w:t>
            </w:r>
            <w:r>
              <w:rPr>
                <w:rFonts w:hint="eastAsia"/>
              </w:rPr>
              <w:t>。</w:t>
            </w:r>
          </w:p>
          <w:p w14:paraId="78115737">
            <w:pPr>
              <w:pStyle w:val="16"/>
              <w:ind w:firstLine="482"/>
            </w:pPr>
            <w:r>
              <w:rPr>
                <w:rFonts w:hint="eastAsia"/>
              </w:rPr>
              <w:t>2、与《湖南省锅炉使用负面清单》相符性分析</w:t>
            </w:r>
          </w:p>
          <w:p w14:paraId="3C48C8A7">
            <w:pPr>
              <w:ind w:firstLine="480"/>
            </w:pPr>
            <w:r>
              <w:rPr>
                <w:rFonts w:hint="eastAsia"/>
              </w:rPr>
              <w:t>根据《湖南省锅炉使用负面清单》，不予办理使用登记的锅炉：每小时35蒸吨及以下固定炉排式生物质锅炉；县级及以上城市建成区每小时35蒸吨以下的燃煤锅炉，其他区域每小时10蒸吨以下的燃煤锅炉。需要淘汰注销的锅炉：固定炉排燃煤锅炉；每小时10蒸吨以下的燃煤锅炉；每小时2蒸吨以下的生物质锅炉；每小时35蒸吨及以下的燃煤锅炉（执行大气污染物特别排放限值的地区）。</w:t>
            </w:r>
          </w:p>
          <w:p w14:paraId="5FA6DBD3">
            <w:pPr>
              <w:ind w:firstLine="480"/>
            </w:pPr>
            <w:r>
              <w:rPr>
                <w:rFonts w:hint="eastAsia"/>
              </w:rPr>
              <w:t>本项目为2.</w:t>
            </w:r>
            <w:r>
              <w:rPr>
                <w:rFonts w:hint="eastAsia"/>
                <w:lang w:val="en-US" w:eastAsia="zh-CN"/>
              </w:rPr>
              <w:t>1</w:t>
            </w:r>
            <w:r>
              <w:rPr>
                <w:rFonts w:hint="eastAsia"/>
              </w:rPr>
              <w:t>t/h的生物质锅炉，不属于《湖南省锅炉使用负面清单》中所列不予办理使用登记的锅炉、需要淘汰注销的锅炉。</w:t>
            </w:r>
          </w:p>
          <w:p w14:paraId="5974F459">
            <w:pPr>
              <w:pStyle w:val="16"/>
              <w:ind w:firstLine="482"/>
            </w:pPr>
            <w:r>
              <w:rPr>
                <w:rFonts w:hint="eastAsia"/>
              </w:rPr>
              <w:t>3、与《湖南省长江经济带发展负面清单实施细则（试行，2022版）》相符性分析</w:t>
            </w:r>
          </w:p>
          <w:p w14:paraId="47000D1B">
            <w:pPr>
              <w:pStyle w:val="17"/>
              <w:ind w:firstLine="480"/>
            </w:pPr>
            <w:r>
              <w:rPr>
                <w:rFonts w:hint="eastAsia"/>
              </w:rPr>
              <w:t>本项目与《湖南省长江经济带发展负面清单实施细则》（试行，2022年版）相关要求的符合性分析见下表。</w:t>
            </w:r>
          </w:p>
          <w:p w14:paraId="19D2A07B">
            <w:pPr>
              <w:pStyle w:val="18"/>
            </w:pPr>
            <w:r>
              <w:t>表1-</w:t>
            </w:r>
            <w:r>
              <w:rPr>
                <w:rFonts w:hint="eastAsia"/>
              </w:rPr>
              <w:t>1</w:t>
            </w:r>
            <w:r>
              <w:t xml:space="preserve">  与《湖南省长江经济带发展负面清单实施细则》（试行，2022年版）符合性分析</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4051"/>
              <w:gridCol w:w="1090"/>
              <w:gridCol w:w="720"/>
            </w:tblGrid>
            <w:tr w14:paraId="29986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1AC6070D">
                  <w:pPr>
                    <w:pStyle w:val="15"/>
                  </w:pPr>
                  <w:r>
                    <w:rPr>
                      <w:rFonts w:hint="eastAsia"/>
                    </w:rPr>
                    <w:t>序号</w:t>
                  </w:r>
                </w:p>
              </w:tc>
              <w:tc>
                <w:tcPr>
                  <w:tcW w:w="4051" w:type="dxa"/>
                  <w:vAlign w:val="center"/>
                </w:tcPr>
                <w:p w14:paraId="6612E757">
                  <w:pPr>
                    <w:pStyle w:val="15"/>
                  </w:pPr>
                  <w:r>
                    <w:rPr>
                      <w:rFonts w:hint="eastAsia"/>
                    </w:rPr>
                    <w:t>要求内容</w:t>
                  </w:r>
                </w:p>
              </w:tc>
              <w:tc>
                <w:tcPr>
                  <w:tcW w:w="1090" w:type="dxa"/>
                  <w:vAlign w:val="center"/>
                </w:tcPr>
                <w:p w14:paraId="0A95A313">
                  <w:pPr>
                    <w:pStyle w:val="15"/>
                  </w:pPr>
                  <w:r>
                    <w:rPr>
                      <w:rFonts w:hint="eastAsia"/>
                    </w:rPr>
                    <w:t>项目情况</w:t>
                  </w:r>
                </w:p>
              </w:tc>
              <w:tc>
                <w:tcPr>
                  <w:tcW w:w="720" w:type="dxa"/>
                  <w:vAlign w:val="center"/>
                </w:tcPr>
                <w:p w14:paraId="5C8B9B5F">
                  <w:pPr>
                    <w:pStyle w:val="15"/>
                  </w:pPr>
                  <w:r>
                    <w:rPr>
                      <w:rFonts w:hint="eastAsia"/>
                    </w:rPr>
                    <w:t>符合性</w:t>
                  </w:r>
                </w:p>
              </w:tc>
            </w:tr>
            <w:tr w14:paraId="1E4A4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3948FD20">
                  <w:pPr>
                    <w:pStyle w:val="15"/>
                  </w:pPr>
                  <w:r>
                    <w:rPr>
                      <w:rFonts w:hint="eastAsia"/>
                    </w:rPr>
                    <w:t>1</w:t>
                  </w:r>
                </w:p>
              </w:tc>
              <w:tc>
                <w:tcPr>
                  <w:tcW w:w="4051" w:type="dxa"/>
                  <w:vAlign w:val="center"/>
                </w:tcPr>
                <w:p w14:paraId="68005A5C">
                  <w:pPr>
                    <w:pStyle w:val="15"/>
                  </w:pPr>
                  <w:r>
                    <w:t>禁止建设不符合全国和省级港口布局规划以及港口总体规划的码头项目。对不符合港口总体规划的新建、改建和扩建的码头工程（含舾装码头工程）及其同时建设的配套设施、防波堤、锚地、护岸等工程投资主管部门不得审批或核准。码头工程建设项目需要使用港口岸的，项目单位应当按照国家、省港口岸线使用的管理规定办理港口岸线使用手续。未取得岸线使用批准文件或者岸线使用意见的，不得开工建设。禁止建设不符合《长江干线过江通道布局规划》的过长江通道项目。</w:t>
                  </w:r>
                </w:p>
              </w:tc>
              <w:tc>
                <w:tcPr>
                  <w:tcW w:w="1090" w:type="dxa"/>
                  <w:vAlign w:val="center"/>
                </w:tcPr>
                <w:p w14:paraId="708A3D8D">
                  <w:pPr>
                    <w:pStyle w:val="15"/>
                  </w:pPr>
                  <w:r>
                    <w:t>本项目</w:t>
                  </w:r>
                  <w:r>
                    <w:rPr>
                      <w:rFonts w:hint="eastAsia"/>
                    </w:rPr>
                    <w:t>为清洁服务类项目，</w:t>
                  </w:r>
                  <w:r>
                    <w:t>不属于码头项目</w:t>
                  </w:r>
                  <w:r>
                    <w:rPr>
                      <w:rFonts w:hint="eastAsia"/>
                    </w:rPr>
                    <w:t>。</w:t>
                  </w:r>
                </w:p>
              </w:tc>
              <w:tc>
                <w:tcPr>
                  <w:tcW w:w="720" w:type="dxa"/>
                  <w:vAlign w:val="center"/>
                </w:tcPr>
                <w:p w14:paraId="25C0B9A4">
                  <w:pPr>
                    <w:pStyle w:val="15"/>
                  </w:pPr>
                  <w:r>
                    <w:rPr>
                      <w:rFonts w:hint="eastAsia"/>
                    </w:rPr>
                    <w:t>符合</w:t>
                  </w:r>
                </w:p>
              </w:tc>
            </w:tr>
            <w:tr w14:paraId="5750C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78A503CF">
                  <w:pPr>
                    <w:pStyle w:val="15"/>
                  </w:pPr>
                  <w:r>
                    <w:rPr>
                      <w:rFonts w:hint="eastAsia"/>
                    </w:rPr>
                    <w:t>2</w:t>
                  </w:r>
                </w:p>
              </w:tc>
              <w:tc>
                <w:tcPr>
                  <w:tcW w:w="4051" w:type="dxa"/>
                  <w:vAlign w:val="center"/>
                </w:tcPr>
                <w:p w14:paraId="4C534916">
                  <w:pPr>
                    <w:pStyle w:val="15"/>
                  </w:pPr>
                  <w:r>
                    <w:t>禁止在自然保护区核心区、缓冲区的岸线和河段范围内投资建设以下项目：（一）高尔夫球场开发、房地产开发、索道建设、会所建设等项目；（二）光伏发电、风力发电、火力发电建设项目；（三）社会资金进行商业性探矿勘查，以及不属于国家紧缺矿种资源的基础地质调查和矿产远景调查等公益性工作的设施建设；（四）野生动物驯养繁殖、展览基地建设项目；（五）污染环境、破坏自然资源或自然景观的建设设施；（六）对自然保护区主要保护对象产生重大影响、改变自然生态系统完整性、原真性、破坏自然景观的设施；（七）其他不符合自然保护区主体功能定位和国家禁止的设施。</w:t>
                  </w:r>
                </w:p>
              </w:tc>
              <w:tc>
                <w:tcPr>
                  <w:tcW w:w="1090" w:type="dxa"/>
                  <w:vAlign w:val="center"/>
                </w:tcPr>
                <w:p w14:paraId="51FE46F4">
                  <w:pPr>
                    <w:pStyle w:val="15"/>
                  </w:pPr>
                  <w:r>
                    <w:t>本项目位于岳阳县新开镇，不在自然保护区核心区、缓冲区的岸线和河段范围内</w:t>
                  </w:r>
                  <w:r>
                    <w:rPr>
                      <w:rFonts w:hint="eastAsia"/>
                    </w:rPr>
                    <w:t>。</w:t>
                  </w:r>
                </w:p>
              </w:tc>
              <w:tc>
                <w:tcPr>
                  <w:tcW w:w="720" w:type="dxa"/>
                  <w:vAlign w:val="center"/>
                </w:tcPr>
                <w:p w14:paraId="1EC8C117">
                  <w:pPr>
                    <w:pStyle w:val="15"/>
                  </w:pPr>
                  <w:r>
                    <w:rPr>
                      <w:rFonts w:hint="eastAsia"/>
                    </w:rPr>
                    <w:t>符合</w:t>
                  </w:r>
                </w:p>
              </w:tc>
            </w:tr>
            <w:tr w14:paraId="39823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55205647">
                  <w:pPr>
                    <w:pStyle w:val="15"/>
                  </w:pPr>
                  <w:r>
                    <w:rPr>
                      <w:rFonts w:hint="eastAsia"/>
                    </w:rPr>
                    <w:t>3</w:t>
                  </w:r>
                </w:p>
              </w:tc>
              <w:tc>
                <w:tcPr>
                  <w:tcW w:w="4051" w:type="dxa"/>
                  <w:vAlign w:val="center"/>
                </w:tcPr>
                <w:p w14:paraId="1A160FBE">
                  <w:pPr>
                    <w:pStyle w:val="15"/>
                  </w:pPr>
                  <w:r>
                    <w:t>机场、铁路、公路、水利、航运、围堰等公益性基础设施的选址选线应多方案优化比选，尽量避让相关自然保护区域、野生动物迁徙洄游通道；无法避让的，应当采取修建野生动物通道、过鱼设施等措施，消除或者减少对野生动物的不利影响。</w:t>
                  </w:r>
                </w:p>
              </w:tc>
              <w:tc>
                <w:tcPr>
                  <w:tcW w:w="1090" w:type="dxa"/>
                  <w:vAlign w:val="center"/>
                </w:tcPr>
                <w:p w14:paraId="21AA4E63">
                  <w:pPr>
                    <w:pStyle w:val="15"/>
                  </w:pPr>
                  <w:r>
                    <w:t>本项目不涉及机场、铁路、公路、水利、航运、围堰等公益性基础设施。</w:t>
                  </w:r>
                </w:p>
              </w:tc>
              <w:tc>
                <w:tcPr>
                  <w:tcW w:w="720" w:type="dxa"/>
                  <w:vAlign w:val="center"/>
                </w:tcPr>
                <w:p w14:paraId="3EAAF37A">
                  <w:pPr>
                    <w:pStyle w:val="15"/>
                  </w:pPr>
                  <w:r>
                    <w:rPr>
                      <w:rFonts w:hint="eastAsia"/>
                    </w:rPr>
                    <w:t>符合</w:t>
                  </w:r>
                </w:p>
              </w:tc>
            </w:tr>
            <w:tr w14:paraId="4DF8B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09AFE8A7">
                  <w:pPr>
                    <w:pStyle w:val="15"/>
                  </w:pPr>
                  <w:r>
                    <w:rPr>
                      <w:rFonts w:hint="eastAsia"/>
                    </w:rPr>
                    <w:t>4</w:t>
                  </w:r>
                </w:p>
              </w:tc>
              <w:tc>
                <w:tcPr>
                  <w:tcW w:w="4051" w:type="dxa"/>
                  <w:vAlign w:val="center"/>
                </w:tcPr>
                <w:p w14:paraId="31AB8AEF">
                  <w:pPr>
                    <w:pStyle w:val="15"/>
                  </w:pPr>
                  <w:r>
                    <w:t>禁止违反风景名胜区规划，在风景名胜区内设立各类开发区和在核心景区内建设宾馆、招待所、培训中心、疗养院以及与风景名胜资源保护无关的其他建筑物；已经建设的，应当按照风景名胜区规划，逐步迁出。</w:t>
                  </w:r>
                </w:p>
              </w:tc>
              <w:tc>
                <w:tcPr>
                  <w:tcW w:w="1090" w:type="dxa"/>
                  <w:vAlign w:val="center"/>
                </w:tcPr>
                <w:p w14:paraId="3DF46802">
                  <w:pPr>
                    <w:pStyle w:val="15"/>
                  </w:pPr>
                  <w:r>
                    <w:t>本项目位于岳阳县新开镇，不涉及风景名胜区。</w:t>
                  </w:r>
                </w:p>
              </w:tc>
              <w:tc>
                <w:tcPr>
                  <w:tcW w:w="720" w:type="dxa"/>
                  <w:vAlign w:val="center"/>
                </w:tcPr>
                <w:p w14:paraId="7E9C6AAA">
                  <w:pPr>
                    <w:pStyle w:val="15"/>
                  </w:pPr>
                  <w:r>
                    <w:rPr>
                      <w:rFonts w:hint="eastAsia"/>
                    </w:rPr>
                    <w:t>符合</w:t>
                  </w:r>
                </w:p>
              </w:tc>
            </w:tr>
            <w:tr w14:paraId="12CF9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51294A39">
                  <w:pPr>
                    <w:pStyle w:val="15"/>
                  </w:pPr>
                  <w:r>
                    <w:rPr>
                      <w:rFonts w:hint="eastAsia"/>
                    </w:rPr>
                    <w:t>5</w:t>
                  </w:r>
                </w:p>
              </w:tc>
              <w:tc>
                <w:tcPr>
                  <w:tcW w:w="4051" w:type="dxa"/>
                  <w:vAlign w:val="center"/>
                </w:tcPr>
                <w:p w14:paraId="06039BDF">
                  <w:pPr>
                    <w:pStyle w:val="15"/>
                  </w:pPr>
                  <w:r>
                    <w:t>饮用水水源一级保护区内禁止新建、改建、扩建与供水设施和保护水源无关的建设项目，以及网箱养殖、畜禽养殖、旅游等可能污染饮用水水体的投资建设项目；禁止向水域排放污水，已设置的排污口必须拆除；不得设置与供水需要无关的码头，禁止停靠船舶；禁止堆置和存放工业废渣、城市垃圾、粪便和其它废弃物；禁止设置油库；禁止使用含磷洗涤用品。</w:t>
                  </w:r>
                </w:p>
              </w:tc>
              <w:tc>
                <w:tcPr>
                  <w:tcW w:w="1090" w:type="dxa"/>
                  <w:vAlign w:val="center"/>
                </w:tcPr>
                <w:p w14:paraId="6D3098AB">
                  <w:pPr>
                    <w:pStyle w:val="15"/>
                  </w:pPr>
                  <w:r>
                    <w:t>本项目位于岳阳县新开镇，不在饮用水保护区内。</w:t>
                  </w:r>
                </w:p>
              </w:tc>
              <w:tc>
                <w:tcPr>
                  <w:tcW w:w="720" w:type="dxa"/>
                  <w:vAlign w:val="center"/>
                </w:tcPr>
                <w:p w14:paraId="29F6E1E3">
                  <w:pPr>
                    <w:pStyle w:val="15"/>
                  </w:pPr>
                  <w:r>
                    <w:rPr>
                      <w:rFonts w:hint="eastAsia"/>
                    </w:rPr>
                    <w:t>符合</w:t>
                  </w:r>
                </w:p>
              </w:tc>
            </w:tr>
            <w:tr w14:paraId="022A5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07171E87">
                  <w:pPr>
                    <w:pStyle w:val="15"/>
                  </w:pPr>
                  <w:r>
                    <w:rPr>
                      <w:rFonts w:hint="eastAsia"/>
                    </w:rPr>
                    <w:t>6</w:t>
                  </w:r>
                </w:p>
              </w:tc>
              <w:tc>
                <w:tcPr>
                  <w:tcW w:w="4051" w:type="dxa"/>
                  <w:vAlign w:val="center"/>
                </w:tcPr>
                <w:p w14:paraId="7C8B7CCE">
                  <w:pPr>
                    <w:pStyle w:val="15"/>
                  </w:pPr>
                  <w:r>
                    <w:t>饮用水水源二级保护区内禁止新建、改建、扩建向水体排放污染物的投资建设项目。原有排污口依法拆除或关闭。禁止设立装卸垃圾、粪便、油类和有毒物品的码头。</w:t>
                  </w:r>
                </w:p>
              </w:tc>
              <w:tc>
                <w:tcPr>
                  <w:tcW w:w="1090" w:type="dxa"/>
                  <w:vAlign w:val="center"/>
                </w:tcPr>
                <w:p w14:paraId="7E1E3D9A">
                  <w:pPr>
                    <w:pStyle w:val="15"/>
                  </w:pPr>
                  <w:r>
                    <w:t>本项目不在饮用水保护区内。</w:t>
                  </w:r>
                </w:p>
              </w:tc>
              <w:tc>
                <w:tcPr>
                  <w:tcW w:w="720" w:type="dxa"/>
                  <w:vAlign w:val="center"/>
                </w:tcPr>
                <w:p w14:paraId="53BF7386">
                  <w:pPr>
                    <w:pStyle w:val="15"/>
                  </w:pPr>
                  <w:r>
                    <w:rPr>
                      <w:rFonts w:hint="eastAsia"/>
                    </w:rPr>
                    <w:t>符合</w:t>
                  </w:r>
                </w:p>
              </w:tc>
            </w:tr>
            <w:tr w14:paraId="0EED6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67C71373">
                  <w:pPr>
                    <w:pStyle w:val="15"/>
                  </w:pPr>
                  <w:r>
                    <w:rPr>
                      <w:rFonts w:hint="eastAsia"/>
                    </w:rPr>
                    <w:t>7</w:t>
                  </w:r>
                </w:p>
              </w:tc>
              <w:tc>
                <w:tcPr>
                  <w:tcW w:w="4051" w:type="dxa"/>
                  <w:vAlign w:val="center"/>
                </w:tcPr>
                <w:p w14:paraId="3A51FBD0">
                  <w:pPr>
                    <w:pStyle w:val="15"/>
                  </w:pPr>
                  <w:r>
                    <w:t>禁止在水产种质资源保护区的岸线和河段范围内新建排污口、实施非法围垦河道和围湖造田造地等投资建设项目。</w:t>
                  </w:r>
                </w:p>
              </w:tc>
              <w:tc>
                <w:tcPr>
                  <w:tcW w:w="1090" w:type="dxa"/>
                  <w:vAlign w:val="center"/>
                </w:tcPr>
                <w:p w14:paraId="29CD4E21">
                  <w:pPr>
                    <w:pStyle w:val="15"/>
                  </w:pPr>
                  <w:r>
                    <w:t>本项目位于岳阳县新开镇，不在水产种质资源保护区。</w:t>
                  </w:r>
                </w:p>
              </w:tc>
              <w:tc>
                <w:tcPr>
                  <w:tcW w:w="720" w:type="dxa"/>
                  <w:vAlign w:val="center"/>
                </w:tcPr>
                <w:p w14:paraId="31C5BBFA">
                  <w:pPr>
                    <w:pStyle w:val="15"/>
                  </w:pPr>
                  <w:r>
                    <w:rPr>
                      <w:rFonts w:hint="eastAsia"/>
                    </w:rPr>
                    <w:t>符合</w:t>
                  </w:r>
                </w:p>
              </w:tc>
            </w:tr>
            <w:tr w14:paraId="224BB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579A2D11">
                  <w:pPr>
                    <w:pStyle w:val="15"/>
                  </w:pPr>
                  <w:r>
                    <w:rPr>
                      <w:rFonts w:hint="eastAsia"/>
                    </w:rPr>
                    <w:t>8</w:t>
                  </w:r>
                </w:p>
              </w:tc>
              <w:tc>
                <w:tcPr>
                  <w:tcW w:w="4051" w:type="dxa"/>
                  <w:vAlign w:val="center"/>
                </w:tcPr>
                <w:p w14:paraId="65DA740B">
                  <w:pPr>
                    <w:pStyle w:val="15"/>
                  </w:pPr>
                  <w:r>
                    <w:t>除《中华人民共和国防洪法》规定的紧急防汛期采取的紧急措施外，禁止在国家湿地公园的岸线和河段范围内挖沙、采矿，以及以下不符合主体功能定位的行为和活动：（一）开（围）垦、填埋或者排干湿地；（二）截断湿地水源；（三）倾倒有毒有害物质、废弃物、垃圾；（四）从事房地产、度假村、高尔夫球场、风力发电、光伏发电等任何不符合主体功能定位的建设项目和开发活动；（五）破坏野生动物栖息地和迁徙通道、鱼类洄游通道，滥采滥捕野生动植物；（六）引入外来物种；（七）擅自放牧、捕捞、取土、取水、排污、放生。</w:t>
                  </w:r>
                  <w:r>
                    <w:rPr>
                      <w:rFonts w:hint="eastAsia"/>
                    </w:rPr>
                    <w:t>（</w:t>
                  </w:r>
                  <w:r>
                    <w:t>八）其他破坏湿地及其生态功能的活动。</w:t>
                  </w:r>
                </w:p>
              </w:tc>
              <w:tc>
                <w:tcPr>
                  <w:tcW w:w="1090" w:type="dxa"/>
                  <w:vAlign w:val="center"/>
                </w:tcPr>
                <w:p w14:paraId="6382426F">
                  <w:pPr>
                    <w:pStyle w:val="15"/>
                  </w:pPr>
                  <w:r>
                    <w:t>本项目位于岳阳县新开镇，不在国家湿地公园范围内。</w:t>
                  </w:r>
                </w:p>
              </w:tc>
              <w:tc>
                <w:tcPr>
                  <w:tcW w:w="720" w:type="dxa"/>
                  <w:vAlign w:val="center"/>
                </w:tcPr>
                <w:p w14:paraId="7D322879">
                  <w:pPr>
                    <w:pStyle w:val="15"/>
                  </w:pPr>
                  <w:r>
                    <w:rPr>
                      <w:rFonts w:hint="eastAsia"/>
                    </w:rPr>
                    <w:t>符合</w:t>
                  </w:r>
                </w:p>
              </w:tc>
            </w:tr>
            <w:tr w14:paraId="4D67E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14B9222B">
                  <w:pPr>
                    <w:pStyle w:val="15"/>
                  </w:pPr>
                  <w:r>
                    <w:rPr>
                      <w:rFonts w:hint="eastAsia"/>
                    </w:rPr>
                    <w:t>9</w:t>
                  </w:r>
                </w:p>
              </w:tc>
              <w:tc>
                <w:tcPr>
                  <w:tcW w:w="4051" w:type="dxa"/>
                  <w:vAlign w:val="center"/>
                </w:tcPr>
                <w:p w14:paraId="2D02FBE3">
                  <w:pPr>
                    <w:pStyle w:val="15"/>
                  </w:pPr>
                  <w: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填湖造地、围湖造田及非法围垦河道，禁止非法建设矮围网围、填埋湿地等侵占河湖水域或者违法利用、占用河湖岸线的行为。</w:t>
                  </w:r>
                </w:p>
              </w:tc>
              <w:tc>
                <w:tcPr>
                  <w:tcW w:w="1090" w:type="dxa"/>
                  <w:vAlign w:val="center"/>
                </w:tcPr>
                <w:p w14:paraId="53CD5DD7">
                  <w:pPr>
                    <w:pStyle w:val="15"/>
                  </w:pPr>
                  <w:r>
                    <w:t>本项目位于岳阳县新开镇，不在长江岸线保护区内。</w:t>
                  </w:r>
                </w:p>
              </w:tc>
              <w:tc>
                <w:tcPr>
                  <w:tcW w:w="720" w:type="dxa"/>
                  <w:vAlign w:val="center"/>
                </w:tcPr>
                <w:p w14:paraId="1FF6C69F">
                  <w:pPr>
                    <w:pStyle w:val="15"/>
                  </w:pPr>
                  <w:r>
                    <w:rPr>
                      <w:rFonts w:hint="eastAsia"/>
                    </w:rPr>
                    <w:t>符合</w:t>
                  </w:r>
                </w:p>
              </w:tc>
            </w:tr>
            <w:tr w14:paraId="0946C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4BD9D487">
                  <w:pPr>
                    <w:pStyle w:val="15"/>
                  </w:pPr>
                  <w:r>
                    <w:rPr>
                      <w:rFonts w:hint="eastAsia"/>
                    </w:rPr>
                    <w:t>10</w:t>
                  </w:r>
                </w:p>
              </w:tc>
              <w:tc>
                <w:tcPr>
                  <w:tcW w:w="4051" w:type="dxa"/>
                  <w:vAlign w:val="center"/>
                </w:tcPr>
                <w:p w14:paraId="18D5FFFD">
                  <w:pPr>
                    <w:pStyle w:val="15"/>
                  </w:pPr>
                  <w:r>
                    <w:t>禁止在《全国重要江河湖泊水功能区划》划定的河段保护区、保留区内投资建设不利于水资源及自然生态保护的项目。</w:t>
                  </w:r>
                </w:p>
              </w:tc>
              <w:tc>
                <w:tcPr>
                  <w:tcW w:w="1090" w:type="dxa"/>
                  <w:vAlign w:val="center"/>
                </w:tcPr>
                <w:p w14:paraId="5EC0086A">
                  <w:pPr>
                    <w:pStyle w:val="15"/>
                  </w:pPr>
                  <w:r>
                    <w:t>本项目位于岳阳县新开镇，不在全国重要江河湖泊水功能区划划定的河段保护区、保留区内。</w:t>
                  </w:r>
                </w:p>
              </w:tc>
              <w:tc>
                <w:tcPr>
                  <w:tcW w:w="720" w:type="dxa"/>
                  <w:vAlign w:val="center"/>
                </w:tcPr>
                <w:p w14:paraId="1AB813DF">
                  <w:pPr>
                    <w:pStyle w:val="15"/>
                  </w:pPr>
                  <w:r>
                    <w:rPr>
                      <w:rFonts w:hint="eastAsia"/>
                    </w:rPr>
                    <w:t>符合</w:t>
                  </w:r>
                </w:p>
              </w:tc>
            </w:tr>
            <w:tr w14:paraId="33826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701078AF">
                  <w:pPr>
                    <w:pStyle w:val="15"/>
                  </w:pPr>
                  <w:r>
                    <w:rPr>
                      <w:rFonts w:hint="eastAsia"/>
                    </w:rPr>
                    <w:t>11</w:t>
                  </w:r>
                </w:p>
              </w:tc>
              <w:tc>
                <w:tcPr>
                  <w:tcW w:w="4051" w:type="dxa"/>
                  <w:vAlign w:val="center"/>
                </w:tcPr>
                <w:p w14:paraId="0445DBEA">
                  <w:pPr>
                    <w:pStyle w:val="15"/>
                  </w:pPr>
                  <w:r>
                    <w:t>禁止未经许可在长江干支流及湖泊新设、改设或扩大排污口。</w:t>
                  </w:r>
                </w:p>
              </w:tc>
              <w:tc>
                <w:tcPr>
                  <w:tcW w:w="1090" w:type="dxa"/>
                  <w:vAlign w:val="center"/>
                </w:tcPr>
                <w:p w14:paraId="04804176">
                  <w:pPr>
                    <w:pStyle w:val="15"/>
                  </w:pPr>
                  <w:r>
                    <w:t>项目不新设、改设或扩大排污口。</w:t>
                  </w:r>
                </w:p>
              </w:tc>
              <w:tc>
                <w:tcPr>
                  <w:tcW w:w="720" w:type="dxa"/>
                  <w:vAlign w:val="center"/>
                </w:tcPr>
                <w:p w14:paraId="22E60CF5">
                  <w:pPr>
                    <w:pStyle w:val="15"/>
                  </w:pPr>
                  <w:r>
                    <w:rPr>
                      <w:rFonts w:hint="eastAsia"/>
                    </w:rPr>
                    <w:t>符合</w:t>
                  </w:r>
                </w:p>
              </w:tc>
            </w:tr>
            <w:tr w14:paraId="3890A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7A2E5263">
                  <w:pPr>
                    <w:pStyle w:val="15"/>
                  </w:pPr>
                  <w:r>
                    <w:rPr>
                      <w:rFonts w:hint="eastAsia"/>
                    </w:rPr>
                    <w:t>12</w:t>
                  </w:r>
                </w:p>
              </w:tc>
              <w:tc>
                <w:tcPr>
                  <w:tcW w:w="4051" w:type="dxa"/>
                  <w:vAlign w:val="center"/>
                </w:tcPr>
                <w:p w14:paraId="66EF7F57">
                  <w:pPr>
                    <w:pStyle w:val="15"/>
                  </w:pPr>
                  <w:r>
                    <w:t>禁止在洞庭湖、湘江、资江、沅江、澧水干流和45个水生生物保护区开展生产性捕捞。在相关自然保护区域和禁猎（渔）区、禁猎（渔）期内，禁止猎捕以及其他妨碍野生动物生息繁衍的活动，但法律法规另有规定的除外。</w:t>
                  </w:r>
                </w:p>
              </w:tc>
              <w:tc>
                <w:tcPr>
                  <w:tcW w:w="1090" w:type="dxa"/>
                  <w:vAlign w:val="center"/>
                </w:tcPr>
                <w:p w14:paraId="63B28511">
                  <w:pPr>
                    <w:pStyle w:val="15"/>
                  </w:pPr>
                  <w:r>
                    <w:t>项目不涉及生产性捕捞</w:t>
                  </w:r>
                  <w:r>
                    <w:rPr>
                      <w:rFonts w:hint="eastAsia"/>
                    </w:rPr>
                    <w:t>。</w:t>
                  </w:r>
                </w:p>
              </w:tc>
              <w:tc>
                <w:tcPr>
                  <w:tcW w:w="720" w:type="dxa"/>
                  <w:vAlign w:val="center"/>
                </w:tcPr>
                <w:p w14:paraId="44E33D5F">
                  <w:pPr>
                    <w:pStyle w:val="15"/>
                  </w:pPr>
                  <w:r>
                    <w:rPr>
                      <w:rFonts w:hint="eastAsia"/>
                    </w:rPr>
                    <w:t>符合</w:t>
                  </w:r>
                </w:p>
              </w:tc>
            </w:tr>
            <w:tr w14:paraId="1E1AA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6038611F">
                  <w:pPr>
                    <w:pStyle w:val="15"/>
                  </w:pPr>
                  <w:r>
                    <w:rPr>
                      <w:rFonts w:hint="eastAsia"/>
                    </w:rPr>
                    <w:t>13</w:t>
                  </w:r>
                </w:p>
              </w:tc>
              <w:tc>
                <w:tcPr>
                  <w:tcW w:w="4051" w:type="dxa"/>
                  <w:vAlign w:val="center"/>
                </w:tcPr>
                <w:p w14:paraId="6E5B8734">
                  <w:pPr>
                    <w:pStyle w:val="15"/>
                  </w:pPr>
                  <w:r>
                    <w:t>禁止在长江湖南段和洞庭湖、湘江、资江、沅江、澧水干流岸线一公里范围内新建、扩建化工园区和化工项目。禁止在长江湖南段岸线三公里范围内和湘江、资江、沅江、澧水岸线一公里范围内新建、改建、扩建尾矿库、冶炼渣库和磷石膏库，以提升安全、生态环境保护水平为目的的改建除外。</w:t>
                  </w:r>
                </w:p>
              </w:tc>
              <w:tc>
                <w:tcPr>
                  <w:tcW w:w="1090" w:type="dxa"/>
                  <w:vAlign w:val="center"/>
                </w:tcPr>
                <w:p w14:paraId="7C0830EB">
                  <w:pPr>
                    <w:pStyle w:val="15"/>
                  </w:pPr>
                  <w:r>
                    <w:t>本项目距离洞庭湖</w:t>
                  </w:r>
                  <w:r>
                    <w:rPr>
                      <w:rFonts w:hint="eastAsia"/>
                    </w:rPr>
                    <w:t>8</w:t>
                  </w:r>
                  <w:r>
                    <w:t>公里。</w:t>
                  </w:r>
                </w:p>
              </w:tc>
              <w:tc>
                <w:tcPr>
                  <w:tcW w:w="720" w:type="dxa"/>
                  <w:vAlign w:val="center"/>
                </w:tcPr>
                <w:p w14:paraId="17D4FCF4">
                  <w:pPr>
                    <w:pStyle w:val="15"/>
                  </w:pPr>
                  <w:r>
                    <w:rPr>
                      <w:rFonts w:hint="eastAsia"/>
                    </w:rPr>
                    <w:t>符合</w:t>
                  </w:r>
                </w:p>
              </w:tc>
            </w:tr>
            <w:tr w14:paraId="71251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3C168F72">
                  <w:pPr>
                    <w:pStyle w:val="15"/>
                  </w:pPr>
                  <w:r>
                    <w:rPr>
                      <w:rFonts w:hint="eastAsia"/>
                    </w:rPr>
                    <w:t>14</w:t>
                  </w:r>
                </w:p>
              </w:tc>
              <w:tc>
                <w:tcPr>
                  <w:tcW w:w="4051" w:type="dxa"/>
                  <w:vAlign w:val="center"/>
                </w:tcPr>
                <w:p w14:paraId="3D3E78AA">
                  <w:pPr>
                    <w:pStyle w:val="15"/>
                  </w:pPr>
                  <w:r>
                    <w:t>禁止在合规园区外新建、扩建钢铁、石化、化工、焦化、建材、有色、制浆造纸等高污染项目。高污染项目严格按照生态环境部《环境保护综合名录（2021年版）》有关要求执行。</w:t>
                  </w:r>
                </w:p>
              </w:tc>
              <w:tc>
                <w:tcPr>
                  <w:tcW w:w="1090" w:type="dxa"/>
                  <w:vAlign w:val="center"/>
                </w:tcPr>
                <w:p w14:paraId="5773001A">
                  <w:pPr>
                    <w:pStyle w:val="15"/>
                  </w:pPr>
                  <w:r>
                    <w:t>本项目不属于高污染项目</w:t>
                  </w:r>
                  <w:r>
                    <w:rPr>
                      <w:rFonts w:hint="eastAsia"/>
                    </w:rPr>
                    <w:t>。</w:t>
                  </w:r>
                </w:p>
              </w:tc>
              <w:tc>
                <w:tcPr>
                  <w:tcW w:w="720" w:type="dxa"/>
                  <w:vAlign w:val="center"/>
                </w:tcPr>
                <w:p w14:paraId="5CB9B49E">
                  <w:pPr>
                    <w:pStyle w:val="15"/>
                  </w:pPr>
                  <w:r>
                    <w:rPr>
                      <w:rFonts w:hint="eastAsia"/>
                    </w:rPr>
                    <w:t>符合</w:t>
                  </w:r>
                </w:p>
              </w:tc>
            </w:tr>
            <w:tr w14:paraId="6753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5930019C">
                  <w:pPr>
                    <w:pStyle w:val="15"/>
                  </w:pPr>
                  <w:r>
                    <w:rPr>
                      <w:rFonts w:hint="eastAsia"/>
                    </w:rPr>
                    <w:t>15</w:t>
                  </w:r>
                </w:p>
              </w:tc>
              <w:tc>
                <w:tcPr>
                  <w:tcW w:w="4051" w:type="dxa"/>
                  <w:vAlign w:val="center"/>
                </w:tcPr>
                <w:p w14:paraId="74AE0648">
                  <w:pPr>
                    <w:pStyle w:val="15"/>
                  </w:pPr>
                  <w:r>
                    <w:t>禁止新建、扩建不符合国家石化、现代煤化工等产业布局规划的项目。未通过认定的化工园区，不得新建、改扩建化工项目（安全、环保、节能和智能化改造项目除外）。</w:t>
                  </w:r>
                </w:p>
              </w:tc>
              <w:tc>
                <w:tcPr>
                  <w:tcW w:w="1090" w:type="dxa"/>
                  <w:vAlign w:val="center"/>
                </w:tcPr>
                <w:p w14:paraId="3F068A2D">
                  <w:pPr>
                    <w:pStyle w:val="15"/>
                  </w:pPr>
                  <w:r>
                    <w:t>本项目不涉及石化、现代煤化工。</w:t>
                  </w:r>
                </w:p>
              </w:tc>
              <w:tc>
                <w:tcPr>
                  <w:tcW w:w="720" w:type="dxa"/>
                  <w:vAlign w:val="center"/>
                </w:tcPr>
                <w:p w14:paraId="25603879">
                  <w:pPr>
                    <w:pStyle w:val="15"/>
                  </w:pPr>
                  <w:r>
                    <w:rPr>
                      <w:rFonts w:hint="eastAsia"/>
                    </w:rPr>
                    <w:t>符合</w:t>
                  </w:r>
                </w:p>
              </w:tc>
            </w:tr>
            <w:tr w14:paraId="5A548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dxa"/>
                  <w:vAlign w:val="center"/>
                </w:tcPr>
                <w:p w14:paraId="6FFC7226">
                  <w:pPr>
                    <w:pStyle w:val="15"/>
                  </w:pPr>
                  <w:r>
                    <w:rPr>
                      <w:rFonts w:hint="eastAsia"/>
                    </w:rPr>
                    <w:t>16</w:t>
                  </w:r>
                </w:p>
              </w:tc>
              <w:tc>
                <w:tcPr>
                  <w:tcW w:w="4051" w:type="dxa"/>
                  <w:vAlign w:val="center"/>
                </w:tcPr>
                <w:p w14:paraId="23367D08">
                  <w:pPr>
                    <w:pStyle w:val="15"/>
                  </w:pPr>
                  <w:r>
                    <w:t>禁止新建、扩建法律法规和相关政策明令禁止的落后产能项目</w:t>
                  </w:r>
                  <w:r>
                    <w:rPr>
                      <w:rFonts w:hint="eastAsia"/>
                    </w:rPr>
                    <w:t>；</w:t>
                  </w:r>
                  <w:r>
                    <w:t>对不符合要求的落后产能存量项目依法依规退出。禁止新建、扩建不符合国家产能置换要求的严重过剩产能行业（钢铁、水泥，电解铝、平板玻璃、船舶等行业）的项目。对确有必要新建、扩建的，必须严格执行产能置换实施办法，实施减量或等量置换，依法依规办理有关手续。禁止新建、扩建不符合要求的高耗能高排放项目。</w:t>
                  </w:r>
                </w:p>
              </w:tc>
              <w:tc>
                <w:tcPr>
                  <w:tcW w:w="1090" w:type="dxa"/>
                  <w:vAlign w:val="center"/>
                </w:tcPr>
                <w:p w14:paraId="65B4CF56">
                  <w:pPr>
                    <w:pStyle w:val="15"/>
                  </w:pPr>
                  <w:r>
                    <w:rPr>
                      <w:rFonts w:hint="eastAsia"/>
                    </w:rPr>
                    <w:t>本</w:t>
                  </w:r>
                  <w:r>
                    <w:t>项目建设符合国家相关政策，不</w:t>
                  </w:r>
                </w:p>
                <w:p w14:paraId="5A9A0511">
                  <w:pPr>
                    <w:pStyle w:val="15"/>
                  </w:pPr>
                  <w:r>
                    <w:t>属于产能过剩行业，不属于高耗能高排放项目。</w:t>
                  </w:r>
                </w:p>
              </w:tc>
              <w:tc>
                <w:tcPr>
                  <w:tcW w:w="720" w:type="dxa"/>
                  <w:vAlign w:val="center"/>
                </w:tcPr>
                <w:p w14:paraId="09CCA0C7">
                  <w:pPr>
                    <w:pStyle w:val="15"/>
                  </w:pPr>
                  <w:r>
                    <w:rPr>
                      <w:rFonts w:hint="eastAsia"/>
                    </w:rPr>
                    <w:t>符合</w:t>
                  </w:r>
                </w:p>
              </w:tc>
            </w:tr>
          </w:tbl>
          <w:p w14:paraId="5567DED0">
            <w:pPr>
              <w:pStyle w:val="17"/>
              <w:ind w:firstLine="480"/>
            </w:pPr>
            <w:r>
              <w:t>由上表可知，本项目符合《湖南省长江经济带发展负面清单实施细则》（试行，2022 年版）。</w:t>
            </w:r>
          </w:p>
          <w:p w14:paraId="40FBE5B1">
            <w:pPr>
              <w:pStyle w:val="16"/>
              <w:ind w:firstLine="482"/>
            </w:pPr>
            <w:r>
              <w:rPr>
                <w:rFonts w:hint="eastAsia"/>
              </w:rPr>
              <w:t>4、“三线一单”符合性分析</w:t>
            </w:r>
          </w:p>
          <w:p w14:paraId="59FC1C08">
            <w:pPr>
              <w:pStyle w:val="17"/>
              <w:ind w:firstLine="480"/>
            </w:pPr>
            <w:r>
              <w:t>（1）生态红线</w:t>
            </w:r>
          </w:p>
          <w:p w14:paraId="35CD160B">
            <w:pPr>
              <w:pStyle w:val="17"/>
              <w:ind w:firstLine="480"/>
            </w:pPr>
            <w:r>
              <w:t>本项目位于岳阳县新开镇新开村毛栗片湘北大道西侧（6栋），根据三区三</w:t>
            </w:r>
            <w:r>
              <w:rPr>
                <w:rFonts w:hint="eastAsia"/>
              </w:rPr>
              <w:t>线</w:t>
            </w:r>
            <w:r>
              <w:t>查询文件（附件</w:t>
            </w:r>
            <w:r>
              <w:rPr>
                <w:rFonts w:hint="eastAsia"/>
              </w:rPr>
              <w:t>5</w:t>
            </w:r>
            <w:r>
              <w:t>），项目用地区域不在生态红线保护区域内，符合生态保护红线要求。</w:t>
            </w:r>
          </w:p>
          <w:p w14:paraId="08572517">
            <w:pPr>
              <w:pStyle w:val="17"/>
              <w:ind w:firstLine="480"/>
            </w:pPr>
            <w:r>
              <w:t>（2）环境质量底线</w:t>
            </w:r>
          </w:p>
          <w:p w14:paraId="4CB7F37A">
            <w:pPr>
              <w:pStyle w:val="17"/>
              <w:ind w:firstLine="480"/>
            </w:pPr>
            <w:r>
              <w:rPr>
                <w:kern w:val="0"/>
              </w:rPr>
              <w:t>本项目所在地为环境空气功能区二类区，执行二级标准。项目所在区域为达标区；</w:t>
            </w:r>
            <w:r>
              <w:rPr>
                <w:rFonts w:hint="eastAsia"/>
                <w:kern w:val="0"/>
              </w:rPr>
              <w:t>本项目废水不外排</w:t>
            </w:r>
            <w:r>
              <w:rPr>
                <w:rFonts w:hint="eastAsia"/>
              </w:rPr>
              <w:t>；</w:t>
            </w:r>
            <w:r>
              <w:t>项目所在地属于乡镇城郊环境，区域主要声源为社会生活和交通噪声源，能达到相应功能区划要求。项目所在区域大气、地表水和噪声环境现状均能符合相应的环境标准要求，符合环境质量底线要求。</w:t>
            </w:r>
          </w:p>
          <w:p w14:paraId="3B2B6A0B">
            <w:pPr>
              <w:pStyle w:val="17"/>
              <w:ind w:firstLine="480"/>
            </w:pPr>
            <w:r>
              <w:t>（3）资源利用上线</w:t>
            </w:r>
          </w:p>
          <w:p w14:paraId="24D08A0F">
            <w:pPr>
              <w:pStyle w:val="17"/>
              <w:ind w:firstLine="480"/>
            </w:pPr>
            <w:r>
              <w:t>资源是环境的载体，资源利用上线是各地区能源、水、土地等资源消耗不得突破的“天花板”。</w:t>
            </w:r>
            <w:r>
              <w:rPr>
                <w:rFonts w:hint="eastAsia"/>
              </w:rPr>
              <w:t>本项目</w:t>
            </w:r>
            <w:r>
              <w:t>主要资源消耗为水、电、砂石及水泥等。给水由</w:t>
            </w:r>
            <w:r>
              <w:rPr>
                <w:rFonts w:hint="eastAsia"/>
              </w:rPr>
              <w:t>乡镇</w:t>
            </w:r>
            <w:r>
              <w:t>统一供给，供电由</w:t>
            </w:r>
            <w:r>
              <w:rPr>
                <w:rFonts w:hint="eastAsia"/>
              </w:rPr>
              <w:t>乡镇</w:t>
            </w:r>
            <w:r>
              <w:t>电网供给，砂石及水泥通过合法途径购买</w:t>
            </w:r>
            <w:r>
              <w:rPr>
                <w:rFonts w:hint="eastAsia"/>
              </w:rPr>
              <w:t>，</w:t>
            </w:r>
            <w:r>
              <w:t>对区域资源基本无影响</w:t>
            </w:r>
            <w:r>
              <w:rPr>
                <w:rFonts w:hint="eastAsia"/>
              </w:rPr>
              <w:t>，</w:t>
            </w:r>
            <w:r>
              <w:t>符合资源利用上限要求。</w:t>
            </w:r>
          </w:p>
          <w:p w14:paraId="061E097B">
            <w:pPr>
              <w:pStyle w:val="17"/>
              <w:ind w:firstLine="480"/>
            </w:pPr>
            <w:r>
              <w:t>（4）生态环境准入清单</w:t>
            </w:r>
          </w:p>
          <w:p w14:paraId="0B9CF728">
            <w:pPr>
              <w:pStyle w:val="17"/>
              <w:ind w:firstLine="480"/>
            </w:pPr>
            <w:r>
              <w:t>根据湖南省发展和改革委员会发布的“关于印发《湖南省国家重点生态功能区 产业准入负面清单》的通知”（湘发改规划[2018]373号）、“关于印发《湖南省新增19个国家重点生态功能区产业准入负面清单（试行）》的通知”（湘发改规 划[2018]972号）。项目选址不属于重要生态功能保护区范围内，也不属于负面清单内产业</w:t>
            </w:r>
            <w:r>
              <w:rPr>
                <w:rFonts w:hint="eastAsia"/>
              </w:rPr>
              <w:t>。</w:t>
            </w:r>
          </w:p>
          <w:p w14:paraId="078A1FE0">
            <w:pPr>
              <w:pStyle w:val="17"/>
              <w:ind w:firstLine="480"/>
            </w:pPr>
            <w:r>
              <w:t>本项目选址于</w:t>
            </w:r>
            <w:r>
              <w:rPr>
                <w:rFonts w:hint="eastAsia"/>
              </w:rPr>
              <w:t>岳阳市岳阳县新开镇新开村毛栗片湘北大道西侧（6栋）</w:t>
            </w:r>
            <w:r>
              <w:t>，根据《岳阳市人民政府关于实施岳阳市“三线一单”生态环境分区管控的意见（岳政发[2021]2号）》（2023年修订版），为管控区域中的</w:t>
            </w:r>
            <w:r>
              <w:rPr>
                <w:rFonts w:hint="eastAsia"/>
              </w:rPr>
              <w:t>重点管控</w:t>
            </w:r>
            <w:r>
              <w:t>单元ZH430</w:t>
            </w:r>
            <w:r>
              <w:rPr>
                <w:rFonts w:hint="eastAsia"/>
              </w:rPr>
              <w:t>62120003</w:t>
            </w:r>
            <w:r>
              <w:t>。项目建设符合其环境准入及管控要求，本项目与生态环境准入清单符合性分析如下</w:t>
            </w:r>
            <w:r>
              <w:rPr>
                <w:rFonts w:hint="eastAsia"/>
              </w:rPr>
              <w:t>。</w:t>
            </w:r>
          </w:p>
          <w:p w14:paraId="56AF4F56">
            <w:pPr>
              <w:pStyle w:val="18"/>
            </w:pPr>
            <w:r>
              <w:t>表1-</w:t>
            </w:r>
            <w:r>
              <w:rPr>
                <w:rFonts w:hint="eastAsia"/>
              </w:rPr>
              <w:t>2</w:t>
            </w:r>
            <w:r>
              <w:t xml:space="preserve"> 环境管控单元相关要求及相符性分析一览表</w:t>
            </w:r>
          </w:p>
          <w:tbl>
            <w:tblPr>
              <w:tblStyle w:val="12"/>
              <w:tblW w:w="62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3627"/>
              <w:gridCol w:w="1269"/>
              <w:gridCol w:w="646"/>
            </w:tblGrid>
            <w:tr w14:paraId="79F09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712" w:type="dxa"/>
                  <w:vAlign w:val="center"/>
                </w:tcPr>
                <w:p w14:paraId="352A2591">
                  <w:pPr>
                    <w:pStyle w:val="15"/>
                  </w:pPr>
                  <w:r>
                    <w:rPr>
                      <w:rFonts w:hint="eastAsia"/>
                    </w:rPr>
                    <w:t>管控维度</w:t>
                  </w:r>
                </w:p>
              </w:tc>
              <w:tc>
                <w:tcPr>
                  <w:tcW w:w="3627" w:type="dxa"/>
                  <w:vAlign w:val="center"/>
                </w:tcPr>
                <w:p w14:paraId="58622878">
                  <w:pPr>
                    <w:pStyle w:val="15"/>
                  </w:pPr>
                  <w:r>
                    <w:t>管控要求</w:t>
                  </w:r>
                </w:p>
              </w:tc>
              <w:tc>
                <w:tcPr>
                  <w:tcW w:w="1269" w:type="dxa"/>
                  <w:vAlign w:val="center"/>
                </w:tcPr>
                <w:p w14:paraId="7B8E5218">
                  <w:pPr>
                    <w:pStyle w:val="15"/>
                  </w:pPr>
                  <w:r>
                    <w:t>项目情况</w:t>
                  </w:r>
                </w:p>
              </w:tc>
              <w:tc>
                <w:tcPr>
                  <w:tcW w:w="646" w:type="dxa"/>
                  <w:vAlign w:val="center"/>
                </w:tcPr>
                <w:p w14:paraId="0048E628">
                  <w:pPr>
                    <w:pStyle w:val="15"/>
                  </w:pPr>
                  <w:r>
                    <w:rPr>
                      <w:rFonts w:hint="eastAsia"/>
                    </w:rPr>
                    <w:t>符合性</w:t>
                  </w:r>
                </w:p>
              </w:tc>
            </w:tr>
            <w:tr w14:paraId="50D39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restart"/>
                  <w:vAlign w:val="center"/>
                </w:tcPr>
                <w:p w14:paraId="6CC0141D">
                  <w:pPr>
                    <w:pStyle w:val="15"/>
                  </w:pPr>
                  <w:r>
                    <w:t>空间布局约束</w:t>
                  </w:r>
                </w:p>
              </w:tc>
              <w:tc>
                <w:tcPr>
                  <w:tcW w:w="3627" w:type="dxa"/>
                  <w:vAlign w:val="center"/>
                </w:tcPr>
                <w:p w14:paraId="0DF109AC">
                  <w:pPr>
                    <w:pStyle w:val="15"/>
                  </w:pPr>
                  <w:r>
                    <w:t>全面淘汰传统掩埋、化尸窖等处理方式</w:t>
                  </w:r>
                  <w:r>
                    <w:rPr>
                      <w:rFonts w:hint="eastAsia"/>
                    </w:rPr>
                    <w:t>，</w:t>
                  </w:r>
                  <w:r>
                    <w:t>实行病死畜禽无害化处理，禁止任何单位和个人非法抛弃、收购、贩卖、屠宰、加工病死畜禽；从事畜禽饲养、屠宰、经营、运输的单位和个人，在畜禽因病死亡或染疫时，应立即向所在区域收集暂存点报告，由区域收集暂存点收集后送至病死畜禽专业无害化集中处理厂进行无害化处理；严厉打击非法抛弃、收购、贩卖、屠宰、加工病死畜禽等违法行为</w:t>
                  </w:r>
                  <w:r>
                    <w:rPr>
                      <w:rFonts w:hint="eastAsia"/>
                    </w:rPr>
                    <w:t>；</w:t>
                  </w:r>
                </w:p>
              </w:tc>
              <w:tc>
                <w:tcPr>
                  <w:tcW w:w="1269" w:type="dxa"/>
                  <w:vAlign w:val="center"/>
                </w:tcPr>
                <w:p w14:paraId="04909075">
                  <w:pPr>
                    <w:pStyle w:val="15"/>
                  </w:pPr>
                  <w:r>
                    <w:t>本项目不属于畜禽行业</w:t>
                  </w:r>
                  <w:r>
                    <w:rPr>
                      <w:rFonts w:hint="eastAsia"/>
                    </w:rPr>
                    <w:t>。</w:t>
                  </w:r>
                </w:p>
              </w:tc>
              <w:tc>
                <w:tcPr>
                  <w:tcW w:w="646" w:type="dxa"/>
                  <w:vAlign w:val="center"/>
                </w:tcPr>
                <w:p w14:paraId="25FC9F28">
                  <w:pPr>
                    <w:pStyle w:val="15"/>
                  </w:pPr>
                  <w:r>
                    <w:rPr>
                      <w:rFonts w:hint="eastAsia"/>
                    </w:rPr>
                    <w:t>符合</w:t>
                  </w:r>
                </w:p>
              </w:tc>
            </w:tr>
            <w:tr w14:paraId="5DFF8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14:paraId="0576C1C5">
                  <w:pPr>
                    <w:pStyle w:val="15"/>
                  </w:pPr>
                </w:p>
              </w:tc>
              <w:tc>
                <w:tcPr>
                  <w:tcW w:w="3627" w:type="dxa"/>
                  <w:vAlign w:val="center"/>
                </w:tcPr>
                <w:p w14:paraId="2293C509">
                  <w:pPr>
                    <w:pStyle w:val="15"/>
                  </w:pPr>
                  <w:r>
                    <w:t>在禁养区内，撤除人工养殖网箱、网围、拦网，禁止从事投肥、投饵等各类人工水产养殖行为；在限养区内，全面限制投肥投饵养殖，限制周边生活污水及畜禽粪污直接排入农村集体生活用水水源地水库，重点湖泊限制网箱、网围、网栏等人工养殖，重点生态功能区内的水产养殖搬迁或关停</w:t>
                  </w:r>
                  <w:r>
                    <w:rPr>
                      <w:rFonts w:hint="eastAsia"/>
                    </w:rPr>
                    <w:t>。</w:t>
                  </w:r>
                </w:p>
              </w:tc>
              <w:tc>
                <w:tcPr>
                  <w:tcW w:w="1269" w:type="dxa"/>
                  <w:vAlign w:val="center"/>
                </w:tcPr>
                <w:p w14:paraId="770C6D2C">
                  <w:pPr>
                    <w:pStyle w:val="15"/>
                  </w:pPr>
                  <w:r>
                    <w:t>本项目不属于</w:t>
                  </w:r>
                  <w:r>
                    <w:rPr>
                      <w:rFonts w:hint="eastAsia"/>
                    </w:rPr>
                    <w:t>养殖</w:t>
                  </w:r>
                  <w:r>
                    <w:t>行业</w:t>
                  </w:r>
                  <w:r>
                    <w:rPr>
                      <w:rFonts w:hint="eastAsia"/>
                    </w:rPr>
                    <w:t>。</w:t>
                  </w:r>
                </w:p>
              </w:tc>
              <w:tc>
                <w:tcPr>
                  <w:tcW w:w="646" w:type="dxa"/>
                  <w:vAlign w:val="center"/>
                </w:tcPr>
                <w:p w14:paraId="14C11C1F">
                  <w:pPr>
                    <w:pStyle w:val="15"/>
                  </w:pPr>
                  <w:r>
                    <w:rPr>
                      <w:rFonts w:hint="eastAsia"/>
                    </w:rPr>
                    <w:t>符合</w:t>
                  </w:r>
                </w:p>
              </w:tc>
            </w:tr>
            <w:tr w14:paraId="55BC6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Align w:val="center"/>
                </w:tcPr>
                <w:p w14:paraId="0E8441C4">
                  <w:pPr>
                    <w:pStyle w:val="15"/>
                  </w:pPr>
                  <w:r>
                    <w:t>污染物排放管控</w:t>
                  </w:r>
                </w:p>
              </w:tc>
              <w:tc>
                <w:tcPr>
                  <w:tcW w:w="3627" w:type="dxa"/>
                  <w:vAlign w:val="center"/>
                </w:tcPr>
                <w:p w14:paraId="0DFBC6C1">
                  <w:pPr>
                    <w:pStyle w:val="15"/>
                  </w:pPr>
                  <w:r>
                    <w:t>加快补齐污水收集和处理设施短板，积极推进雨污分流、老旧污水管网改造和破损修复等工作，加快消除生活污水收集处理设施空白区，显著提升城镇生活污水集中收集效能</w:t>
                  </w:r>
                  <w:r>
                    <w:rPr>
                      <w:rFonts w:hint="eastAsia"/>
                    </w:rPr>
                    <w:t>。</w:t>
                  </w:r>
                </w:p>
              </w:tc>
              <w:tc>
                <w:tcPr>
                  <w:tcW w:w="1269" w:type="dxa"/>
                  <w:vAlign w:val="center"/>
                </w:tcPr>
                <w:p w14:paraId="3A1ED10A">
                  <w:pPr>
                    <w:pStyle w:val="15"/>
                  </w:pPr>
                  <w:r>
                    <w:rPr>
                      <w:rFonts w:hint="eastAsia"/>
                    </w:rPr>
                    <w:t>本</w:t>
                  </w:r>
                  <w:r>
                    <w:t>项目</w:t>
                  </w:r>
                  <w:r>
                    <w:rPr>
                      <w:rFonts w:hint="eastAsia"/>
                    </w:rPr>
                    <w:t>租赁湖南远发建筑工程有限公司（湘北现代商贸物流园）厂房，已落实雨污分流。</w:t>
                  </w:r>
                </w:p>
              </w:tc>
              <w:tc>
                <w:tcPr>
                  <w:tcW w:w="646" w:type="dxa"/>
                  <w:vAlign w:val="center"/>
                </w:tcPr>
                <w:p w14:paraId="55B88376">
                  <w:pPr>
                    <w:pStyle w:val="15"/>
                  </w:pPr>
                  <w:r>
                    <w:rPr>
                      <w:rFonts w:hint="eastAsia"/>
                    </w:rPr>
                    <w:t>符合</w:t>
                  </w:r>
                </w:p>
              </w:tc>
            </w:tr>
            <w:tr w14:paraId="251DB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restart"/>
                  <w:vAlign w:val="center"/>
                </w:tcPr>
                <w:p w14:paraId="3CC4F8AA">
                  <w:pPr>
                    <w:pStyle w:val="15"/>
                  </w:pPr>
                  <w:r>
                    <w:t>环境风险防控</w:t>
                  </w:r>
                </w:p>
              </w:tc>
              <w:tc>
                <w:tcPr>
                  <w:tcW w:w="3627" w:type="dxa"/>
                  <w:vAlign w:val="center"/>
                </w:tcPr>
                <w:p w14:paraId="7C6A8D9F">
                  <w:pPr>
                    <w:pStyle w:val="15"/>
                  </w:pPr>
                  <w:r>
                    <w:t>大型养殖场已建设自用病死畜禽处理设施的，应当符合病死畜禽无害化处理技术规范，并经县生态环境和畜牧水产部门审查批准后方可使用</w:t>
                  </w:r>
                  <w:r>
                    <w:rPr>
                      <w:rFonts w:hint="eastAsia"/>
                    </w:rPr>
                    <w:t>。</w:t>
                  </w:r>
                </w:p>
              </w:tc>
              <w:tc>
                <w:tcPr>
                  <w:tcW w:w="1269" w:type="dxa"/>
                  <w:vAlign w:val="center"/>
                </w:tcPr>
                <w:p w14:paraId="3449E5B7">
                  <w:pPr>
                    <w:pStyle w:val="15"/>
                  </w:pPr>
                  <w:r>
                    <w:t>本项目不属于畜禽行业</w:t>
                  </w:r>
                  <w:r>
                    <w:rPr>
                      <w:rFonts w:hint="eastAsia"/>
                    </w:rPr>
                    <w:t>。</w:t>
                  </w:r>
                </w:p>
              </w:tc>
              <w:tc>
                <w:tcPr>
                  <w:tcW w:w="646" w:type="dxa"/>
                  <w:vAlign w:val="center"/>
                </w:tcPr>
                <w:p w14:paraId="6F64509C">
                  <w:pPr>
                    <w:pStyle w:val="15"/>
                  </w:pPr>
                  <w:r>
                    <w:rPr>
                      <w:rFonts w:hint="eastAsia"/>
                    </w:rPr>
                    <w:t>符合</w:t>
                  </w:r>
                </w:p>
              </w:tc>
            </w:tr>
            <w:tr w14:paraId="4BD24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14:paraId="3E69B1D9">
                  <w:pPr>
                    <w:pStyle w:val="15"/>
                  </w:pPr>
                </w:p>
              </w:tc>
              <w:tc>
                <w:tcPr>
                  <w:tcW w:w="3627" w:type="dxa"/>
                  <w:vAlign w:val="center"/>
                </w:tcPr>
                <w:p w14:paraId="6FCDC2B7">
                  <w:pPr>
                    <w:pStyle w:val="15"/>
                  </w:pPr>
                  <w:r>
                    <w:t>防治畜禽养殖污染。严格禁养区管理，依法处理违规畜禽养殖问题，现有规模化畜禽养殖场（小区）根据污染治理需要，配套建设畜禽粪污贮存、处理、利用设施，落实“种养结合，以地定畜”要求，推动就地就近消纳利用畜禽养殖废弃物；鼓励第三方处理企业开展畜禽粪污专业化集中处理</w:t>
                  </w:r>
                  <w:r>
                    <w:rPr>
                      <w:rFonts w:hint="eastAsia"/>
                    </w:rPr>
                    <w:t>。</w:t>
                  </w:r>
                </w:p>
              </w:tc>
              <w:tc>
                <w:tcPr>
                  <w:tcW w:w="1269" w:type="dxa"/>
                  <w:vAlign w:val="center"/>
                </w:tcPr>
                <w:p w14:paraId="66C5A29C">
                  <w:pPr>
                    <w:pStyle w:val="15"/>
                  </w:pPr>
                  <w:r>
                    <w:t>本项目不属于畜禽行业</w:t>
                  </w:r>
                  <w:r>
                    <w:rPr>
                      <w:rFonts w:hint="eastAsia"/>
                    </w:rPr>
                    <w:t>。</w:t>
                  </w:r>
                </w:p>
              </w:tc>
              <w:tc>
                <w:tcPr>
                  <w:tcW w:w="646" w:type="dxa"/>
                  <w:vAlign w:val="center"/>
                </w:tcPr>
                <w:p w14:paraId="199AD6CD">
                  <w:pPr>
                    <w:pStyle w:val="15"/>
                  </w:pPr>
                  <w:r>
                    <w:rPr>
                      <w:rFonts w:hint="eastAsia"/>
                    </w:rPr>
                    <w:t>符合</w:t>
                  </w:r>
                </w:p>
              </w:tc>
            </w:tr>
            <w:tr w14:paraId="33CE8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14:paraId="0A2FC5EE">
                  <w:pPr>
                    <w:pStyle w:val="15"/>
                  </w:pPr>
                </w:p>
              </w:tc>
              <w:tc>
                <w:tcPr>
                  <w:tcW w:w="3627" w:type="dxa"/>
                  <w:vAlign w:val="center"/>
                </w:tcPr>
                <w:p w14:paraId="79AE2ABB">
                  <w:pPr>
                    <w:pStyle w:val="15"/>
                  </w:pPr>
                  <w:r>
                    <w:t>控制农业面源污染。全面贯彻落实</w:t>
                  </w:r>
                  <w:r>
                    <w:rPr>
                      <w:rFonts w:hint="eastAsia"/>
                    </w:rPr>
                    <w:t>“</w:t>
                  </w:r>
                  <w:r>
                    <w:t>一控两减三基本</w:t>
                  </w:r>
                  <w:r>
                    <w:rPr>
                      <w:rFonts w:hint="eastAsia"/>
                    </w:rPr>
                    <w:t>”</w:t>
                  </w:r>
                  <w:r>
                    <w:t>行动，加强肥料、农药包装废弃物回收处理试点与推广应用，建立健全废弃农膜回收贮运和综合利用网络</w:t>
                  </w:r>
                  <w:r>
                    <w:rPr>
                      <w:rFonts w:hint="eastAsia"/>
                    </w:rPr>
                    <w:t>。</w:t>
                  </w:r>
                </w:p>
              </w:tc>
              <w:tc>
                <w:tcPr>
                  <w:tcW w:w="1269" w:type="dxa"/>
                  <w:vAlign w:val="center"/>
                </w:tcPr>
                <w:p w14:paraId="058D0F16">
                  <w:pPr>
                    <w:pStyle w:val="15"/>
                  </w:pPr>
                  <w:r>
                    <w:t>本项目不属于</w:t>
                  </w:r>
                  <w:r>
                    <w:rPr>
                      <w:rFonts w:hint="eastAsia"/>
                    </w:rPr>
                    <w:t>农业。</w:t>
                  </w:r>
                </w:p>
              </w:tc>
              <w:tc>
                <w:tcPr>
                  <w:tcW w:w="646" w:type="dxa"/>
                  <w:vAlign w:val="center"/>
                </w:tcPr>
                <w:p w14:paraId="4E311FEB">
                  <w:pPr>
                    <w:pStyle w:val="15"/>
                  </w:pPr>
                  <w:r>
                    <w:rPr>
                      <w:rFonts w:hint="eastAsia"/>
                    </w:rPr>
                    <w:t>符合</w:t>
                  </w:r>
                </w:p>
              </w:tc>
            </w:tr>
            <w:tr w14:paraId="01B4B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14:paraId="3BDC28A9">
                  <w:pPr>
                    <w:pStyle w:val="15"/>
                  </w:pPr>
                </w:p>
              </w:tc>
              <w:tc>
                <w:tcPr>
                  <w:tcW w:w="3627" w:type="dxa"/>
                  <w:vAlign w:val="center"/>
                </w:tcPr>
                <w:p w14:paraId="3BB30D09">
                  <w:pPr>
                    <w:pStyle w:val="15"/>
                  </w:pPr>
                  <w:r>
                    <w:t>强化枯水期环境监管，在枯水期对重点断面、重点污染源、饮用水水源地进行加密监测，强化区域环境风险隐患排查整治</w:t>
                  </w:r>
                  <w:r>
                    <w:rPr>
                      <w:rFonts w:hint="eastAsia"/>
                    </w:rPr>
                    <w:t>。</w:t>
                  </w:r>
                </w:p>
              </w:tc>
              <w:tc>
                <w:tcPr>
                  <w:tcW w:w="1269" w:type="dxa"/>
                  <w:vAlign w:val="center"/>
                </w:tcPr>
                <w:p w14:paraId="0B2D5661">
                  <w:pPr>
                    <w:pStyle w:val="15"/>
                  </w:pPr>
                  <w:r>
                    <w:rPr>
                      <w:rFonts w:hint="eastAsia"/>
                    </w:rPr>
                    <w:t>本项目不涉及饮用水水源地。</w:t>
                  </w:r>
                </w:p>
              </w:tc>
              <w:tc>
                <w:tcPr>
                  <w:tcW w:w="646" w:type="dxa"/>
                  <w:vAlign w:val="center"/>
                </w:tcPr>
                <w:p w14:paraId="1B6DE914">
                  <w:pPr>
                    <w:pStyle w:val="15"/>
                  </w:pPr>
                  <w:r>
                    <w:rPr>
                      <w:rFonts w:hint="eastAsia"/>
                    </w:rPr>
                    <w:t>符合</w:t>
                  </w:r>
                </w:p>
              </w:tc>
            </w:tr>
            <w:tr w14:paraId="13A4A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14:paraId="5CCEAD9E">
                  <w:pPr>
                    <w:pStyle w:val="15"/>
                  </w:pPr>
                </w:p>
              </w:tc>
              <w:tc>
                <w:tcPr>
                  <w:tcW w:w="3627" w:type="dxa"/>
                  <w:vAlign w:val="center"/>
                </w:tcPr>
                <w:p w14:paraId="2AFADE5D">
                  <w:pPr>
                    <w:pStyle w:val="15"/>
                  </w:pPr>
                  <w:r>
                    <w:t>深入推动落实河（湖）长制，加强河湖巡查，及时发现、解决有关问题；巩固河湖</w:t>
                  </w:r>
                  <w:r>
                    <w:rPr>
                      <w:rFonts w:hint="eastAsia"/>
                    </w:rPr>
                    <w:t>“</w:t>
                  </w:r>
                  <w:r>
                    <w:t>清四乱</w:t>
                  </w:r>
                  <w:r>
                    <w:rPr>
                      <w:rFonts w:hint="eastAsia"/>
                    </w:rPr>
                    <w:t>”</w:t>
                  </w:r>
                  <w:r>
                    <w:t>成效，推动清理整治重点向中小河流、农村河湖延伸，将国控断面水质控制目标、饮用水水源保护纳入河（湖）长制考核体系</w:t>
                  </w:r>
                  <w:r>
                    <w:rPr>
                      <w:rFonts w:hint="eastAsia"/>
                    </w:rPr>
                    <w:t>。</w:t>
                  </w:r>
                </w:p>
              </w:tc>
              <w:tc>
                <w:tcPr>
                  <w:tcW w:w="1269" w:type="dxa"/>
                  <w:vAlign w:val="center"/>
                </w:tcPr>
                <w:p w14:paraId="78CC4888">
                  <w:pPr>
                    <w:pStyle w:val="15"/>
                  </w:pPr>
                  <w:r>
                    <w:rPr>
                      <w:rFonts w:hint="eastAsia"/>
                    </w:rPr>
                    <w:t>本项目不涉及河流、湖泊。</w:t>
                  </w:r>
                </w:p>
              </w:tc>
              <w:tc>
                <w:tcPr>
                  <w:tcW w:w="646" w:type="dxa"/>
                  <w:vAlign w:val="center"/>
                </w:tcPr>
                <w:p w14:paraId="31A7DEE4">
                  <w:pPr>
                    <w:pStyle w:val="15"/>
                  </w:pPr>
                  <w:r>
                    <w:rPr>
                      <w:rFonts w:hint="eastAsia"/>
                    </w:rPr>
                    <w:t>符合</w:t>
                  </w:r>
                </w:p>
              </w:tc>
            </w:tr>
            <w:tr w14:paraId="30960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14:paraId="0F1BF6A7">
                  <w:pPr>
                    <w:pStyle w:val="15"/>
                  </w:pPr>
                </w:p>
              </w:tc>
              <w:tc>
                <w:tcPr>
                  <w:tcW w:w="3627" w:type="dxa"/>
                  <w:vAlign w:val="center"/>
                </w:tcPr>
                <w:p w14:paraId="60AD9540">
                  <w:pPr>
                    <w:pStyle w:val="15"/>
                  </w:pPr>
                  <w:r>
                    <w:t>建立涵盖基础信息、实时水量水质数据等在内的河湖库管理信息平台，河湖管护联合执法机制逐步形成，在东洞庭湖、新墙河、铁山水库等重要河湖干流及主要支流建立基于水质水量考核的流域生态补偿机制</w:t>
                  </w:r>
                  <w:r>
                    <w:rPr>
                      <w:rFonts w:hint="eastAsia"/>
                    </w:rPr>
                    <w:t>。</w:t>
                  </w:r>
                </w:p>
              </w:tc>
              <w:tc>
                <w:tcPr>
                  <w:tcW w:w="1269" w:type="dxa"/>
                  <w:vAlign w:val="center"/>
                </w:tcPr>
                <w:p w14:paraId="661DF960">
                  <w:pPr>
                    <w:pStyle w:val="15"/>
                  </w:pPr>
                  <w:r>
                    <w:rPr>
                      <w:rFonts w:hint="eastAsia"/>
                    </w:rPr>
                    <w:t>本项目不涉及河流、湖泊。</w:t>
                  </w:r>
                </w:p>
              </w:tc>
              <w:tc>
                <w:tcPr>
                  <w:tcW w:w="646" w:type="dxa"/>
                  <w:vAlign w:val="center"/>
                </w:tcPr>
                <w:p w14:paraId="507085DA">
                  <w:pPr>
                    <w:pStyle w:val="15"/>
                  </w:pPr>
                  <w:r>
                    <w:rPr>
                      <w:rFonts w:hint="eastAsia"/>
                    </w:rPr>
                    <w:t>符合</w:t>
                  </w:r>
                </w:p>
              </w:tc>
            </w:tr>
          </w:tbl>
          <w:p w14:paraId="7D31F0FD">
            <w:pPr>
              <w:pStyle w:val="17"/>
              <w:ind w:firstLine="480"/>
            </w:pPr>
            <w:r>
              <w:t>综上所述，本项目相符</w:t>
            </w:r>
            <w:r>
              <w:rPr>
                <w:rFonts w:hint="eastAsia"/>
              </w:rPr>
              <w:t>岳阳县新开镇</w:t>
            </w:r>
            <w:r>
              <w:t>“三线一单”相应的管控要求。</w:t>
            </w:r>
          </w:p>
          <w:p w14:paraId="548E2211">
            <w:pPr>
              <w:pStyle w:val="16"/>
              <w:ind w:firstLine="482"/>
            </w:pPr>
            <w:r>
              <w:rPr>
                <w:rFonts w:hint="eastAsia"/>
              </w:rPr>
              <w:t>5、选址合理性分析</w:t>
            </w:r>
          </w:p>
          <w:p w14:paraId="22E9E4AE">
            <w:pPr>
              <w:pStyle w:val="17"/>
              <w:ind w:firstLine="480"/>
            </w:pPr>
            <w:r>
              <w:t>本项目位于岳阳市岳阳县新开镇新开村毛栗片湘北大道西侧（6栋）</w:t>
            </w:r>
            <w:r>
              <w:rPr>
                <w:rFonts w:hint="eastAsia"/>
              </w:rPr>
              <w:t>，</w:t>
            </w:r>
            <w:r>
              <w:t>租用湖南远发建筑工程有限公司（湘北现代商贸物流园）的厂房，已签署了租用协议</w:t>
            </w:r>
            <w:r>
              <w:rPr>
                <w:rFonts w:hint="eastAsia"/>
              </w:rPr>
              <w:t>（详见附件4）</w:t>
            </w:r>
            <w:r>
              <w:t>。项目地交通运输条件便利，周边</w:t>
            </w:r>
            <w:r>
              <w:rPr>
                <w:rFonts w:hint="eastAsia"/>
              </w:rPr>
              <w:t>为物流园，</w:t>
            </w:r>
            <w:r>
              <w:t>无制约本项目发展的因素。项目所排污染物均为一般污染物，对环境影响较小，采取措施后能达标排放。经综合分析，本项目选址满足相关规定和要求，选址可行。</w:t>
            </w:r>
          </w:p>
          <w:p w14:paraId="6DC1CB8E">
            <w:pPr>
              <w:pStyle w:val="18"/>
              <w:jc w:val="both"/>
            </w:pPr>
          </w:p>
          <w:p w14:paraId="318B756A">
            <w:pPr>
              <w:pStyle w:val="18"/>
              <w:jc w:val="both"/>
            </w:pPr>
          </w:p>
          <w:p w14:paraId="19B145AD">
            <w:pPr>
              <w:pStyle w:val="18"/>
              <w:jc w:val="both"/>
            </w:pPr>
          </w:p>
          <w:p w14:paraId="389E97D0">
            <w:pPr>
              <w:pStyle w:val="18"/>
              <w:jc w:val="both"/>
            </w:pPr>
          </w:p>
          <w:p w14:paraId="5FF47B78">
            <w:pPr>
              <w:pStyle w:val="18"/>
              <w:jc w:val="both"/>
            </w:pPr>
          </w:p>
          <w:p w14:paraId="2EEEE3EF">
            <w:pPr>
              <w:pStyle w:val="18"/>
              <w:jc w:val="both"/>
            </w:pPr>
          </w:p>
          <w:p w14:paraId="645C35D1">
            <w:pPr>
              <w:pStyle w:val="18"/>
              <w:jc w:val="both"/>
            </w:pPr>
          </w:p>
          <w:p w14:paraId="0170AD05">
            <w:pPr>
              <w:pStyle w:val="18"/>
              <w:jc w:val="both"/>
            </w:pPr>
          </w:p>
          <w:p w14:paraId="41399AAA">
            <w:pPr>
              <w:pStyle w:val="18"/>
              <w:jc w:val="both"/>
            </w:pPr>
          </w:p>
          <w:p w14:paraId="35F26989">
            <w:pPr>
              <w:pStyle w:val="18"/>
              <w:jc w:val="both"/>
            </w:pPr>
          </w:p>
          <w:p w14:paraId="0E36F000">
            <w:pPr>
              <w:pStyle w:val="18"/>
              <w:jc w:val="both"/>
            </w:pPr>
          </w:p>
          <w:p w14:paraId="74CFD387">
            <w:pPr>
              <w:pStyle w:val="18"/>
              <w:jc w:val="both"/>
            </w:pPr>
          </w:p>
          <w:p w14:paraId="08A0FEB9">
            <w:pPr>
              <w:pStyle w:val="18"/>
              <w:jc w:val="both"/>
            </w:pPr>
          </w:p>
          <w:p w14:paraId="468E96C5">
            <w:pPr>
              <w:pStyle w:val="18"/>
              <w:jc w:val="both"/>
            </w:pPr>
          </w:p>
          <w:p w14:paraId="73C5E128">
            <w:pPr>
              <w:pStyle w:val="18"/>
              <w:jc w:val="both"/>
            </w:pPr>
          </w:p>
          <w:p w14:paraId="0F704502">
            <w:pPr>
              <w:pStyle w:val="18"/>
              <w:jc w:val="both"/>
            </w:pPr>
          </w:p>
          <w:p w14:paraId="0F608D23">
            <w:pPr>
              <w:pStyle w:val="18"/>
              <w:jc w:val="both"/>
            </w:pPr>
          </w:p>
        </w:tc>
      </w:tr>
    </w:tbl>
    <w:p w14:paraId="059FBD0C">
      <w:pPr>
        <w:ind w:firstLine="480"/>
      </w:pPr>
      <w:r>
        <w:rPr>
          <w:rFonts w:hint="eastAsia"/>
        </w:rPr>
        <w:br w:type="page"/>
      </w:r>
    </w:p>
    <w:p w14:paraId="6F426444">
      <w:pPr>
        <w:pStyle w:val="2"/>
      </w:pPr>
      <w:bookmarkStart w:id="9" w:name="_Toc21316"/>
      <w:r>
        <w:t>二、建设项目工程分析</w:t>
      </w:r>
      <w:bookmarkEnd w:id="9"/>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066"/>
      </w:tblGrid>
      <w:tr w14:paraId="6385D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dxa"/>
            <w:vAlign w:val="center"/>
          </w:tcPr>
          <w:p w14:paraId="33598299">
            <w:pPr>
              <w:ind w:firstLine="0" w:firstLineChars="0"/>
              <w:jc w:val="center"/>
            </w:pPr>
            <w:r>
              <w:rPr>
                <w:rFonts w:hint="eastAsia"/>
              </w:rPr>
              <w:t>建设内容</w:t>
            </w:r>
          </w:p>
        </w:tc>
        <w:tc>
          <w:tcPr>
            <w:tcW w:w="8074" w:type="dxa"/>
          </w:tcPr>
          <w:p w14:paraId="42970467">
            <w:pPr>
              <w:pStyle w:val="16"/>
              <w:numPr>
                <w:ilvl w:val="0"/>
                <w:numId w:val="1"/>
              </w:numPr>
              <w:ind w:firstLine="482"/>
            </w:pPr>
            <w:r>
              <w:rPr>
                <w:rFonts w:hint="eastAsia"/>
              </w:rPr>
              <w:t>项目由来</w:t>
            </w:r>
          </w:p>
          <w:p w14:paraId="0BAE0A62">
            <w:pPr>
              <w:pStyle w:val="17"/>
              <w:ind w:firstLine="480"/>
            </w:pPr>
            <w:r>
              <w:rPr>
                <w:rFonts w:hint="eastAsia"/>
              </w:rPr>
              <w:t>岳阳卫康达餐具消毒服务有限公司投资300万元，租赁湖南远发建筑工程有限公司（湘北现代商贸物流园）厂房，位于岳阳县新开镇新开村毛栗片湘北大道西侧（6栋），占地面积1317.215平方米</w:t>
            </w:r>
            <w:r>
              <w:rPr>
                <w:rFonts w:hint="eastAsia"/>
                <w:lang w:eastAsia="zh-CN"/>
              </w:rPr>
              <w:t>，</w:t>
            </w:r>
            <w:r>
              <w:rPr>
                <w:rFonts w:hint="eastAsia"/>
              </w:rPr>
              <w:t>主要</w:t>
            </w:r>
            <w:r>
              <w:rPr>
                <w:rFonts w:hint="eastAsia"/>
                <w:lang w:val="en-US" w:eastAsia="zh-CN"/>
              </w:rPr>
              <w:t>为学校及政府部门提供餐具清洗消毒服务，</w:t>
            </w:r>
            <w:r>
              <w:rPr>
                <w:rFonts w:hint="eastAsia"/>
              </w:rPr>
              <w:t>生产设备有洗碗机设施一套（含洗碗生产线一条，洗筷勺生产线一条，洗箱生产线一条），供热热源采用生物质颗粒蒸汽锅炉一台，员工15人。目前，已安装部分设备，未进行生产加工活动。</w:t>
            </w:r>
          </w:p>
          <w:p w14:paraId="7DFDF47E">
            <w:pPr>
              <w:pStyle w:val="17"/>
              <w:ind w:firstLine="480"/>
              <w:rPr>
                <w:u w:val="single"/>
              </w:rPr>
            </w:pPr>
            <w:r>
              <w:rPr>
                <w:rFonts w:hint="eastAsia"/>
              </w:rPr>
              <w:t>根据《中华人民共和国环境影响评价法》和《建设项目环境保护管理条例》，该项目需要进行环境影响评价，对照《建设项目环境影响评价分类管理名录》（2021版），本项目属于“四十一、电力、热力生产和供应业  91、热力生产和供应工程（包括建设单位自建自用的供热工程）中的使用其他高污染燃料的（高污染燃料指国环规大气〔2017〕2号《高污染燃料目录》中规定的燃料）”，应编制环境影响报告表。</w:t>
            </w:r>
          </w:p>
          <w:p w14:paraId="19BFC97A">
            <w:pPr>
              <w:pStyle w:val="16"/>
              <w:ind w:firstLine="482"/>
            </w:pPr>
            <w:r>
              <w:rPr>
                <w:rFonts w:hint="eastAsia"/>
              </w:rPr>
              <w:t>2、项目基本情况</w:t>
            </w:r>
          </w:p>
          <w:p w14:paraId="57B71137">
            <w:pPr>
              <w:pStyle w:val="17"/>
              <w:ind w:firstLine="480"/>
            </w:pPr>
            <w:r>
              <w:rPr>
                <w:rFonts w:hint="eastAsia"/>
              </w:rPr>
              <w:t>项目名称：年清洗消毒餐具300万套建设项目；</w:t>
            </w:r>
          </w:p>
          <w:p w14:paraId="162C02F6">
            <w:pPr>
              <w:pStyle w:val="17"/>
              <w:ind w:firstLine="480"/>
            </w:pPr>
            <w:r>
              <w:rPr>
                <w:rFonts w:hint="eastAsia"/>
              </w:rPr>
              <w:t>建设性质：新建；</w:t>
            </w:r>
          </w:p>
          <w:p w14:paraId="745AAE12">
            <w:pPr>
              <w:pStyle w:val="17"/>
              <w:ind w:firstLine="480"/>
            </w:pPr>
            <w:r>
              <w:rPr>
                <w:rFonts w:hint="eastAsia"/>
              </w:rPr>
              <w:t>建设单位：岳阳卫康达餐具消毒服务有限公司；</w:t>
            </w:r>
          </w:p>
          <w:p w14:paraId="068DB865">
            <w:pPr>
              <w:pStyle w:val="17"/>
              <w:ind w:firstLine="480"/>
            </w:pPr>
            <w:r>
              <w:rPr>
                <w:rFonts w:hint="eastAsia"/>
              </w:rPr>
              <w:t>建设地点：岳阳县新开镇新开村毛栗片湘北大道西侧（6栋）（地理坐标：东经113°9′12.249″，北纬29°16′39.594″）；</w:t>
            </w:r>
          </w:p>
          <w:p w14:paraId="3F82B637">
            <w:pPr>
              <w:pStyle w:val="17"/>
              <w:ind w:firstLine="480"/>
            </w:pPr>
            <w:r>
              <w:rPr>
                <w:rFonts w:hint="eastAsia"/>
              </w:rPr>
              <w:t>占地面积：占地面积1317.215平方米；</w:t>
            </w:r>
          </w:p>
          <w:p w14:paraId="405303A9">
            <w:pPr>
              <w:pStyle w:val="17"/>
              <w:ind w:firstLine="480"/>
            </w:pPr>
            <w:r>
              <w:rPr>
                <w:rFonts w:hint="eastAsia"/>
              </w:rPr>
              <w:t>项目投资：300万元，其中环保投资20万元。</w:t>
            </w:r>
          </w:p>
          <w:p w14:paraId="2C91B291">
            <w:pPr>
              <w:pStyle w:val="16"/>
              <w:ind w:firstLine="482"/>
            </w:pPr>
            <w:r>
              <w:rPr>
                <w:rFonts w:hint="eastAsia"/>
              </w:rPr>
              <w:t>3、建设内容及规模</w:t>
            </w:r>
          </w:p>
          <w:p w14:paraId="2DDE50B7">
            <w:pPr>
              <w:pStyle w:val="17"/>
              <w:ind w:firstLine="480"/>
            </w:pPr>
            <w:r>
              <w:rPr>
                <w:rFonts w:hint="eastAsia"/>
              </w:rPr>
              <w:t>本项目建设内容包括主体工程、辅助工程、储运工程、公用工程、环保工程，具体建设内容详见下表。</w:t>
            </w:r>
          </w:p>
          <w:p w14:paraId="4961F50A">
            <w:pPr>
              <w:pStyle w:val="18"/>
            </w:pPr>
            <w:r>
              <w:rPr>
                <w:rFonts w:hint="eastAsia"/>
              </w:rPr>
              <w:t xml:space="preserve">表2-1  </w:t>
            </w:r>
            <w:r>
              <w:rPr>
                <w:rFonts w:hint="eastAsia"/>
                <w:lang w:val="en-US" w:eastAsia="zh-CN"/>
              </w:rPr>
              <w:t>项目</w:t>
            </w:r>
            <w:r>
              <w:rPr>
                <w:rFonts w:hint="eastAsia"/>
              </w:rPr>
              <w:t>建设内容</w:t>
            </w:r>
          </w:p>
          <w:tbl>
            <w:tblPr>
              <w:tblStyle w:val="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1231"/>
              <w:gridCol w:w="5512"/>
            </w:tblGrid>
            <w:tr w14:paraId="34DC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Align w:val="center"/>
                </w:tcPr>
                <w:p w14:paraId="6E00BF55">
                  <w:pPr>
                    <w:pStyle w:val="15"/>
                  </w:pPr>
                  <w:r>
                    <w:rPr>
                      <w:rFonts w:hint="eastAsia"/>
                    </w:rPr>
                    <w:t>工程类别</w:t>
                  </w:r>
                </w:p>
              </w:tc>
              <w:tc>
                <w:tcPr>
                  <w:tcW w:w="785" w:type="pct"/>
                  <w:vAlign w:val="center"/>
                </w:tcPr>
                <w:p w14:paraId="608B9962">
                  <w:pPr>
                    <w:pStyle w:val="15"/>
                  </w:pPr>
                  <w:r>
                    <w:rPr>
                      <w:rFonts w:hint="eastAsia"/>
                    </w:rPr>
                    <w:t>工程内容</w:t>
                  </w:r>
                </w:p>
              </w:tc>
              <w:tc>
                <w:tcPr>
                  <w:tcW w:w="3516" w:type="pct"/>
                  <w:vAlign w:val="center"/>
                </w:tcPr>
                <w:p w14:paraId="7A2F4938">
                  <w:pPr>
                    <w:pStyle w:val="15"/>
                  </w:pPr>
                  <w:r>
                    <w:rPr>
                      <w:rFonts w:hint="eastAsia"/>
                    </w:rPr>
                    <w:t>建设内容</w:t>
                  </w:r>
                </w:p>
              </w:tc>
            </w:tr>
            <w:tr w14:paraId="6196D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Align w:val="center"/>
                </w:tcPr>
                <w:p w14:paraId="3171576C">
                  <w:pPr>
                    <w:pStyle w:val="15"/>
                  </w:pPr>
                  <w:r>
                    <w:rPr>
                      <w:rFonts w:hint="eastAsia"/>
                    </w:rPr>
                    <w:t>主体工程</w:t>
                  </w:r>
                </w:p>
              </w:tc>
              <w:tc>
                <w:tcPr>
                  <w:tcW w:w="785" w:type="pct"/>
                  <w:vAlign w:val="center"/>
                </w:tcPr>
                <w:p w14:paraId="0574967F">
                  <w:pPr>
                    <w:pStyle w:val="15"/>
                  </w:pPr>
                  <w:r>
                    <w:rPr>
                      <w:rFonts w:hint="eastAsia"/>
                    </w:rPr>
                    <w:t>生产车间</w:t>
                  </w:r>
                </w:p>
              </w:tc>
              <w:tc>
                <w:tcPr>
                  <w:tcW w:w="3516" w:type="pct"/>
                  <w:vAlign w:val="center"/>
                </w:tcPr>
                <w:p w14:paraId="6553FDE6">
                  <w:pPr>
                    <w:pStyle w:val="15"/>
                  </w:pPr>
                  <w:r>
                    <w:rPr>
                      <w:rFonts w:hint="eastAsia"/>
                    </w:rPr>
                    <w:t>占地面积623.22m</w:t>
                  </w:r>
                  <w:r>
                    <w:rPr>
                      <w:rFonts w:hint="eastAsia"/>
                      <w:vertAlign w:val="superscript"/>
                    </w:rPr>
                    <w:t>2</w:t>
                  </w:r>
                  <w:r>
                    <w:rPr>
                      <w:rFonts w:hint="eastAsia"/>
                    </w:rPr>
                    <w:t>，安装一套洗碗机设施及其他配套设施</w:t>
                  </w:r>
                </w:p>
              </w:tc>
            </w:tr>
            <w:tr w14:paraId="7561F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restart"/>
                  <w:vAlign w:val="center"/>
                </w:tcPr>
                <w:p w14:paraId="3FBF4F0D">
                  <w:pPr>
                    <w:pStyle w:val="15"/>
                  </w:pPr>
                  <w:r>
                    <w:rPr>
                      <w:rFonts w:hint="eastAsia"/>
                    </w:rPr>
                    <w:t>辅助工程</w:t>
                  </w:r>
                </w:p>
              </w:tc>
              <w:tc>
                <w:tcPr>
                  <w:tcW w:w="785" w:type="pct"/>
                  <w:vAlign w:val="center"/>
                </w:tcPr>
                <w:p w14:paraId="4B036172">
                  <w:pPr>
                    <w:pStyle w:val="15"/>
                  </w:pPr>
                  <w:r>
                    <w:rPr>
                      <w:rFonts w:hint="eastAsia"/>
                    </w:rPr>
                    <w:t>办公楼</w:t>
                  </w:r>
                </w:p>
              </w:tc>
              <w:tc>
                <w:tcPr>
                  <w:tcW w:w="3516" w:type="pct"/>
                  <w:vAlign w:val="center"/>
                </w:tcPr>
                <w:p w14:paraId="043BE3BE">
                  <w:pPr>
                    <w:pStyle w:val="15"/>
                  </w:pPr>
                  <w:r>
                    <w:rPr>
                      <w:rFonts w:hint="eastAsia"/>
                    </w:rPr>
                    <w:t>建筑面积约67.2m</w:t>
                  </w:r>
                  <w:r>
                    <w:rPr>
                      <w:rFonts w:hint="eastAsia"/>
                      <w:vertAlign w:val="superscript"/>
                    </w:rPr>
                    <w:t>2</w:t>
                  </w:r>
                  <w:r>
                    <w:rPr>
                      <w:rFonts w:hint="eastAsia"/>
                    </w:rPr>
                    <w:t>，位于厂房内，用于员工办公与休息</w:t>
                  </w:r>
                </w:p>
              </w:tc>
            </w:tr>
            <w:tr w14:paraId="2CEA2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continue"/>
                  <w:vAlign w:val="center"/>
                </w:tcPr>
                <w:p w14:paraId="3BA5584F">
                  <w:pPr>
                    <w:pStyle w:val="15"/>
                  </w:pPr>
                </w:p>
              </w:tc>
              <w:tc>
                <w:tcPr>
                  <w:tcW w:w="785" w:type="pct"/>
                  <w:vAlign w:val="center"/>
                </w:tcPr>
                <w:p w14:paraId="030FA8C3">
                  <w:pPr>
                    <w:pStyle w:val="15"/>
                  </w:pPr>
                  <w:r>
                    <w:rPr>
                      <w:rFonts w:hint="eastAsia"/>
                    </w:rPr>
                    <w:t>锅炉房</w:t>
                  </w:r>
                </w:p>
              </w:tc>
              <w:tc>
                <w:tcPr>
                  <w:tcW w:w="3516" w:type="pct"/>
                  <w:vAlign w:val="center"/>
                </w:tcPr>
                <w:p w14:paraId="77C0FB79">
                  <w:pPr>
                    <w:pStyle w:val="15"/>
                  </w:pPr>
                  <w:r>
                    <w:rPr>
                      <w:rFonts w:hint="eastAsia"/>
                    </w:rPr>
                    <w:t>建筑面积67.2m</w:t>
                  </w:r>
                  <w:r>
                    <w:rPr>
                      <w:rFonts w:hint="eastAsia"/>
                      <w:vertAlign w:val="superscript"/>
                    </w:rPr>
                    <w:t>2</w:t>
                  </w:r>
                  <w:r>
                    <w:rPr>
                      <w:rFonts w:hint="eastAsia"/>
                    </w:rPr>
                    <w:t>，位于厂房内</w:t>
                  </w:r>
                </w:p>
              </w:tc>
            </w:tr>
            <w:tr w14:paraId="350AB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restart"/>
                  <w:vAlign w:val="center"/>
                </w:tcPr>
                <w:p w14:paraId="30DB248C">
                  <w:pPr>
                    <w:pStyle w:val="15"/>
                  </w:pPr>
                  <w:r>
                    <w:rPr>
                      <w:rFonts w:hint="eastAsia"/>
                    </w:rPr>
                    <w:t>储运工程</w:t>
                  </w:r>
                </w:p>
              </w:tc>
              <w:tc>
                <w:tcPr>
                  <w:tcW w:w="785" w:type="pct"/>
                  <w:vAlign w:val="center"/>
                </w:tcPr>
                <w:p w14:paraId="1FDAF080">
                  <w:pPr>
                    <w:pStyle w:val="15"/>
                  </w:pPr>
                  <w:r>
                    <w:rPr>
                      <w:rFonts w:hint="eastAsia"/>
                    </w:rPr>
                    <w:t>原料区</w:t>
                  </w:r>
                </w:p>
              </w:tc>
              <w:tc>
                <w:tcPr>
                  <w:tcW w:w="3516" w:type="pct"/>
                  <w:vAlign w:val="center"/>
                </w:tcPr>
                <w:p w14:paraId="63CA4A1A">
                  <w:pPr>
                    <w:pStyle w:val="15"/>
                  </w:pPr>
                  <w:r>
                    <w:rPr>
                      <w:rFonts w:hint="eastAsia"/>
                    </w:rPr>
                    <w:t>建筑面积14m</w:t>
                  </w:r>
                  <w:r>
                    <w:rPr>
                      <w:rFonts w:hint="eastAsia"/>
                      <w:vertAlign w:val="superscript"/>
                    </w:rPr>
                    <w:t>2</w:t>
                  </w:r>
                  <w:r>
                    <w:rPr>
                      <w:rFonts w:hint="eastAsia"/>
                    </w:rPr>
                    <w:t>，位于厂房内东北角</w:t>
                  </w:r>
                </w:p>
              </w:tc>
            </w:tr>
            <w:tr w14:paraId="730EB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continue"/>
                  <w:vAlign w:val="center"/>
                </w:tcPr>
                <w:p w14:paraId="730CD3AF">
                  <w:pPr>
                    <w:pStyle w:val="15"/>
                  </w:pPr>
                </w:p>
              </w:tc>
              <w:tc>
                <w:tcPr>
                  <w:tcW w:w="785" w:type="pct"/>
                  <w:vAlign w:val="center"/>
                </w:tcPr>
                <w:p w14:paraId="001C41A0">
                  <w:pPr>
                    <w:pStyle w:val="15"/>
                  </w:pPr>
                  <w:r>
                    <w:rPr>
                      <w:rFonts w:hint="eastAsia"/>
                    </w:rPr>
                    <w:t>成品区</w:t>
                  </w:r>
                </w:p>
              </w:tc>
              <w:tc>
                <w:tcPr>
                  <w:tcW w:w="3516" w:type="pct"/>
                  <w:vAlign w:val="center"/>
                </w:tcPr>
                <w:p w14:paraId="4F040FAC">
                  <w:pPr>
                    <w:pStyle w:val="15"/>
                  </w:pPr>
                  <w:r>
                    <w:rPr>
                      <w:rFonts w:hint="eastAsia"/>
                    </w:rPr>
                    <w:t>建筑面积134.3m</w:t>
                  </w:r>
                  <w:r>
                    <w:rPr>
                      <w:rFonts w:hint="eastAsia"/>
                      <w:vertAlign w:val="superscript"/>
                    </w:rPr>
                    <w:t>2</w:t>
                  </w:r>
                  <w:r>
                    <w:rPr>
                      <w:rFonts w:hint="eastAsia"/>
                    </w:rPr>
                    <w:t>，位于厂房内东南角</w:t>
                  </w:r>
                </w:p>
              </w:tc>
            </w:tr>
            <w:tr w14:paraId="1416A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restart"/>
                  <w:vAlign w:val="center"/>
                </w:tcPr>
                <w:p w14:paraId="220C80EC">
                  <w:pPr>
                    <w:pStyle w:val="15"/>
                  </w:pPr>
                  <w:r>
                    <w:rPr>
                      <w:rFonts w:hint="eastAsia"/>
                    </w:rPr>
                    <w:t>公用工程</w:t>
                  </w:r>
                </w:p>
              </w:tc>
              <w:tc>
                <w:tcPr>
                  <w:tcW w:w="785" w:type="pct"/>
                  <w:vAlign w:val="center"/>
                </w:tcPr>
                <w:p w14:paraId="12EF4FE3">
                  <w:pPr>
                    <w:pStyle w:val="15"/>
                  </w:pPr>
                  <w:r>
                    <w:rPr>
                      <w:rFonts w:hint="eastAsia"/>
                    </w:rPr>
                    <w:t>供水</w:t>
                  </w:r>
                </w:p>
              </w:tc>
              <w:tc>
                <w:tcPr>
                  <w:tcW w:w="3516" w:type="pct"/>
                  <w:vAlign w:val="center"/>
                </w:tcPr>
                <w:p w14:paraId="21E2E1DC">
                  <w:pPr>
                    <w:pStyle w:val="15"/>
                  </w:pPr>
                  <w:r>
                    <w:rPr>
                      <w:rFonts w:hint="eastAsia"/>
                    </w:rPr>
                    <w:t>由乡镇给水管网供给</w:t>
                  </w:r>
                </w:p>
              </w:tc>
            </w:tr>
            <w:tr w14:paraId="6633B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continue"/>
                  <w:vAlign w:val="center"/>
                </w:tcPr>
                <w:p w14:paraId="31B19805">
                  <w:pPr>
                    <w:pStyle w:val="15"/>
                  </w:pPr>
                </w:p>
              </w:tc>
              <w:tc>
                <w:tcPr>
                  <w:tcW w:w="785" w:type="pct"/>
                  <w:vAlign w:val="center"/>
                </w:tcPr>
                <w:p w14:paraId="23CD6350">
                  <w:pPr>
                    <w:pStyle w:val="15"/>
                  </w:pPr>
                  <w:r>
                    <w:rPr>
                      <w:rFonts w:hint="eastAsia"/>
                    </w:rPr>
                    <w:t>供电</w:t>
                  </w:r>
                </w:p>
              </w:tc>
              <w:tc>
                <w:tcPr>
                  <w:tcW w:w="3516" w:type="pct"/>
                  <w:vAlign w:val="center"/>
                </w:tcPr>
                <w:p w14:paraId="15C7AED5">
                  <w:pPr>
                    <w:pStyle w:val="15"/>
                  </w:pPr>
                  <w:r>
                    <w:rPr>
                      <w:rFonts w:hint="eastAsia"/>
                    </w:rPr>
                    <w:t>由乡镇电网供给</w:t>
                  </w:r>
                </w:p>
              </w:tc>
            </w:tr>
            <w:tr w14:paraId="48E84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continue"/>
                  <w:vAlign w:val="center"/>
                </w:tcPr>
                <w:p w14:paraId="7B721B9E">
                  <w:pPr>
                    <w:pStyle w:val="15"/>
                  </w:pPr>
                </w:p>
              </w:tc>
              <w:tc>
                <w:tcPr>
                  <w:tcW w:w="785" w:type="pct"/>
                  <w:vAlign w:val="center"/>
                </w:tcPr>
                <w:p w14:paraId="32347E26">
                  <w:pPr>
                    <w:pStyle w:val="15"/>
                  </w:pPr>
                  <w:r>
                    <w:rPr>
                      <w:rFonts w:hint="eastAsia"/>
                    </w:rPr>
                    <w:t>排水</w:t>
                  </w:r>
                </w:p>
              </w:tc>
              <w:tc>
                <w:tcPr>
                  <w:tcW w:w="3516" w:type="pct"/>
                  <w:vAlign w:val="center"/>
                </w:tcPr>
                <w:p w14:paraId="4657E1B9">
                  <w:pPr>
                    <w:pStyle w:val="15"/>
                  </w:pPr>
                  <w:r>
                    <w:rPr>
                      <w:rFonts w:hint="eastAsia"/>
                    </w:rPr>
                    <w:t>生活经化粪池处理后用于周边农田施肥</w:t>
                  </w:r>
                </w:p>
              </w:tc>
            </w:tr>
            <w:tr w14:paraId="19101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restart"/>
                  <w:vAlign w:val="center"/>
                </w:tcPr>
                <w:p w14:paraId="3CE1C73B">
                  <w:pPr>
                    <w:pStyle w:val="15"/>
                  </w:pPr>
                  <w:r>
                    <w:rPr>
                      <w:rFonts w:hint="eastAsia"/>
                    </w:rPr>
                    <w:t>环保工程</w:t>
                  </w:r>
                </w:p>
              </w:tc>
              <w:tc>
                <w:tcPr>
                  <w:tcW w:w="785" w:type="pct"/>
                  <w:vAlign w:val="center"/>
                </w:tcPr>
                <w:p w14:paraId="7624EA0F">
                  <w:pPr>
                    <w:pStyle w:val="15"/>
                  </w:pPr>
                  <w:r>
                    <w:rPr>
                      <w:rFonts w:hint="eastAsia"/>
                    </w:rPr>
                    <w:t>废气</w:t>
                  </w:r>
                </w:p>
              </w:tc>
              <w:tc>
                <w:tcPr>
                  <w:tcW w:w="3516" w:type="pct"/>
                  <w:vAlign w:val="center"/>
                </w:tcPr>
                <w:p w14:paraId="0452A063">
                  <w:pPr>
                    <w:pStyle w:val="15"/>
                  </w:pPr>
                  <w:r>
                    <w:rPr>
                      <w:rFonts w:hint="eastAsia"/>
                    </w:rPr>
                    <w:t>锅炉废气经</w:t>
                  </w:r>
                  <w:r>
                    <w:rPr>
                      <w:rFonts w:hint="eastAsia"/>
                      <w:color w:val="auto"/>
                      <w:highlight w:val="none"/>
                    </w:rPr>
                    <w:t>布袋</w:t>
                  </w:r>
                  <w:r>
                    <w:rPr>
                      <w:rFonts w:hint="eastAsia"/>
                    </w:rPr>
                    <w:t>除尘处理后30m排气筒（DA001）外排；生产车间异味加强管理，食物残渣用专用容器密闭存放，由环卫部门每天清运，容器在餐厨垃圾清运后及时清洗，以及在车间内安装车间排风扇，加强车间通风</w:t>
                  </w:r>
                </w:p>
              </w:tc>
            </w:tr>
            <w:tr w14:paraId="4F023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continue"/>
                  <w:vAlign w:val="center"/>
                </w:tcPr>
                <w:p w14:paraId="2F879EFE">
                  <w:pPr>
                    <w:pStyle w:val="15"/>
                  </w:pPr>
                </w:p>
              </w:tc>
              <w:tc>
                <w:tcPr>
                  <w:tcW w:w="785" w:type="pct"/>
                  <w:vAlign w:val="center"/>
                </w:tcPr>
                <w:p w14:paraId="2FDE4D7B">
                  <w:pPr>
                    <w:pStyle w:val="15"/>
                  </w:pPr>
                  <w:r>
                    <w:rPr>
                      <w:rFonts w:hint="eastAsia"/>
                    </w:rPr>
                    <w:t>废水</w:t>
                  </w:r>
                </w:p>
              </w:tc>
              <w:tc>
                <w:tcPr>
                  <w:tcW w:w="3516" w:type="pct"/>
                  <w:vAlign w:val="center"/>
                </w:tcPr>
                <w:p w14:paraId="06306471">
                  <w:pPr>
                    <w:pStyle w:val="15"/>
                  </w:pPr>
                  <w:r>
                    <w:rPr>
                      <w:rFonts w:hint="eastAsia"/>
                    </w:rPr>
                    <w:t>生活经化粪池处理后用于周边农田施肥；餐具清洗废水和地面拖洗废水经隔油</w:t>
                  </w:r>
                  <w:r>
                    <w:rPr>
                      <w:rFonts w:hint="eastAsia"/>
                      <w:lang w:val="en-US" w:eastAsia="zh-CN"/>
                    </w:rPr>
                    <w:t>处理后排入沉淀池与</w:t>
                  </w:r>
                  <w:r>
                    <w:rPr>
                      <w:rFonts w:hint="eastAsia"/>
                    </w:rPr>
                    <w:t>纯水制备废水</w:t>
                  </w:r>
                  <w:r>
                    <w:rPr>
                      <w:rFonts w:hint="eastAsia"/>
                      <w:lang w:val="en-US" w:eastAsia="zh-CN"/>
                    </w:rPr>
                    <w:t>一起</w:t>
                  </w:r>
                  <w:r>
                    <w:rPr>
                      <w:rFonts w:hint="eastAsia"/>
                    </w:rPr>
                    <w:t>通过灌装运输车运至岳阳高新科技产业园区污水处理厂处理</w:t>
                  </w:r>
                </w:p>
              </w:tc>
            </w:tr>
            <w:tr w14:paraId="2B71A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continue"/>
                  <w:vAlign w:val="center"/>
                </w:tcPr>
                <w:p w14:paraId="1A0A468B">
                  <w:pPr>
                    <w:pStyle w:val="15"/>
                  </w:pPr>
                </w:p>
              </w:tc>
              <w:tc>
                <w:tcPr>
                  <w:tcW w:w="785" w:type="pct"/>
                  <w:vAlign w:val="center"/>
                </w:tcPr>
                <w:p w14:paraId="6E04026E">
                  <w:pPr>
                    <w:pStyle w:val="15"/>
                  </w:pPr>
                  <w:r>
                    <w:rPr>
                      <w:rFonts w:hint="eastAsia"/>
                    </w:rPr>
                    <w:t>噪声</w:t>
                  </w:r>
                </w:p>
              </w:tc>
              <w:tc>
                <w:tcPr>
                  <w:tcW w:w="3516" w:type="pct"/>
                  <w:vAlign w:val="center"/>
                </w:tcPr>
                <w:p w14:paraId="77471C5A">
                  <w:pPr>
                    <w:pStyle w:val="15"/>
                  </w:pPr>
                  <w:r>
                    <w:rPr>
                      <w:rFonts w:hint="eastAsia"/>
                    </w:rPr>
                    <w:t>基础减振、厂房隔声，加强管理</w:t>
                  </w:r>
                </w:p>
              </w:tc>
            </w:tr>
            <w:tr w14:paraId="7CAA0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vMerge w:val="continue"/>
                  <w:vAlign w:val="center"/>
                </w:tcPr>
                <w:p w14:paraId="2EEDD49A">
                  <w:pPr>
                    <w:pStyle w:val="15"/>
                  </w:pPr>
                </w:p>
              </w:tc>
              <w:tc>
                <w:tcPr>
                  <w:tcW w:w="785" w:type="pct"/>
                  <w:vAlign w:val="center"/>
                </w:tcPr>
                <w:p w14:paraId="57650F35">
                  <w:pPr>
                    <w:pStyle w:val="15"/>
                  </w:pPr>
                  <w:r>
                    <w:rPr>
                      <w:rFonts w:hint="eastAsia"/>
                    </w:rPr>
                    <w:t>固废</w:t>
                  </w:r>
                </w:p>
              </w:tc>
              <w:tc>
                <w:tcPr>
                  <w:tcW w:w="3516" w:type="pct"/>
                  <w:vAlign w:val="center"/>
                </w:tcPr>
                <w:p w14:paraId="72F229D7">
                  <w:pPr>
                    <w:pStyle w:val="15"/>
                  </w:pPr>
                  <w:r>
                    <w:rPr>
                      <w:rFonts w:hint="eastAsia"/>
                    </w:rPr>
                    <w:t>生活垃圾收集后交由环卫部门处理；食物残渣和废油脂交由餐厨垃圾处理公司等有资质单位处理；锅炉灰渣和除尘</w:t>
                  </w:r>
                  <w:r>
                    <w:rPr>
                      <w:rFonts w:hint="eastAsia"/>
                      <w:lang w:val="en-US" w:eastAsia="zh-CN"/>
                    </w:rPr>
                    <w:t>器</w:t>
                  </w:r>
                  <w:r>
                    <w:rPr>
                      <w:rFonts w:hint="eastAsia"/>
                    </w:rPr>
                    <w:t>收集的粉尘收集后交由周边农户做肥料；沉渣和废包装材料交由环卫部门处理；纯水制备废滤芯交由厂家回收</w:t>
                  </w:r>
                </w:p>
              </w:tc>
            </w:tr>
          </w:tbl>
          <w:p w14:paraId="62485FF4">
            <w:pPr>
              <w:pStyle w:val="16"/>
              <w:ind w:firstLine="482"/>
            </w:pPr>
            <w:r>
              <w:rPr>
                <w:rFonts w:hint="eastAsia"/>
              </w:rPr>
              <w:t>4、产品方案</w:t>
            </w:r>
          </w:p>
          <w:p w14:paraId="7D1BFA1A">
            <w:pPr>
              <w:pStyle w:val="17"/>
              <w:ind w:firstLine="480"/>
            </w:pPr>
            <w:r>
              <w:rPr>
                <w:rFonts w:hint="eastAsia"/>
              </w:rPr>
              <w:t>本项目产品方案详见下表。</w:t>
            </w:r>
          </w:p>
          <w:p w14:paraId="72E68B0A">
            <w:pPr>
              <w:pStyle w:val="18"/>
            </w:pPr>
            <w:r>
              <w:rPr>
                <w:rFonts w:hint="eastAsia"/>
              </w:rPr>
              <w:t>表2-2  产品及产量表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2263"/>
              <w:gridCol w:w="1691"/>
              <w:gridCol w:w="1582"/>
              <w:gridCol w:w="1455"/>
            </w:tblGrid>
            <w:tr w14:paraId="704E0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vAlign w:val="center"/>
                </w:tcPr>
                <w:p w14:paraId="1566F202">
                  <w:pPr>
                    <w:pStyle w:val="15"/>
                  </w:pPr>
                  <w:r>
                    <w:rPr>
                      <w:rFonts w:hint="eastAsia"/>
                    </w:rPr>
                    <w:t>序号</w:t>
                  </w:r>
                </w:p>
              </w:tc>
              <w:tc>
                <w:tcPr>
                  <w:tcW w:w="2263" w:type="dxa"/>
                  <w:vAlign w:val="center"/>
                </w:tcPr>
                <w:p w14:paraId="5256D290">
                  <w:pPr>
                    <w:pStyle w:val="15"/>
                  </w:pPr>
                  <w:r>
                    <w:rPr>
                      <w:rFonts w:hint="eastAsia"/>
                    </w:rPr>
                    <w:t>名称</w:t>
                  </w:r>
                </w:p>
              </w:tc>
              <w:tc>
                <w:tcPr>
                  <w:tcW w:w="1691" w:type="dxa"/>
                  <w:vAlign w:val="center"/>
                </w:tcPr>
                <w:p w14:paraId="719C3D97">
                  <w:pPr>
                    <w:pStyle w:val="15"/>
                  </w:pPr>
                  <w:r>
                    <w:rPr>
                      <w:rFonts w:hint="eastAsia"/>
                    </w:rPr>
                    <w:t>产量</w:t>
                  </w:r>
                </w:p>
              </w:tc>
              <w:tc>
                <w:tcPr>
                  <w:tcW w:w="1582" w:type="dxa"/>
                  <w:vAlign w:val="center"/>
                </w:tcPr>
                <w:p w14:paraId="1302D689">
                  <w:pPr>
                    <w:pStyle w:val="15"/>
                  </w:pPr>
                  <w:r>
                    <w:rPr>
                      <w:rFonts w:hint="eastAsia"/>
                    </w:rPr>
                    <w:t>单位</w:t>
                  </w:r>
                </w:p>
              </w:tc>
              <w:tc>
                <w:tcPr>
                  <w:tcW w:w="1455" w:type="dxa"/>
                  <w:vAlign w:val="center"/>
                </w:tcPr>
                <w:p w14:paraId="00730D14">
                  <w:pPr>
                    <w:pStyle w:val="15"/>
                  </w:pPr>
                  <w:r>
                    <w:rPr>
                      <w:rFonts w:hint="eastAsia"/>
                    </w:rPr>
                    <w:t>备注</w:t>
                  </w:r>
                </w:p>
              </w:tc>
            </w:tr>
            <w:tr w14:paraId="26EE2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 w:type="dxa"/>
                  <w:vAlign w:val="center"/>
                </w:tcPr>
                <w:p w14:paraId="2ADB40E1">
                  <w:pPr>
                    <w:pStyle w:val="15"/>
                  </w:pPr>
                  <w:r>
                    <w:rPr>
                      <w:rFonts w:hint="eastAsia"/>
                    </w:rPr>
                    <w:t>1</w:t>
                  </w:r>
                </w:p>
              </w:tc>
              <w:tc>
                <w:tcPr>
                  <w:tcW w:w="2263" w:type="dxa"/>
                  <w:vAlign w:val="center"/>
                </w:tcPr>
                <w:p w14:paraId="4D693AAC">
                  <w:pPr>
                    <w:pStyle w:val="15"/>
                  </w:pPr>
                  <w:r>
                    <w:rPr>
                      <w:rFonts w:hint="eastAsia"/>
                    </w:rPr>
                    <w:t>清洗消毒餐具</w:t>
                  </w:r>
                </w:p>
              </w:tc>
              <w:tc>
                <w:tcPr>
                  <w:tcW w:w="1691" w:type="dxa"/>
                  <w:vAlign w:val="center"/>
                </w:tcPr>
                <w:p w14:paraId="12DDF11F">
                  <w:pPr>
                    <w:pStyle w:val="15"/>
                  </w:pPr>
                  <w:r>
                    <w:rPr>
                      <w:rFonts w:hint="eastAsia"/>
                    </w:rPr>
                    <w:t>300</w:t>
                  </w:r>
                </w:p>
              </w:tc>
              <w:tc>
                <w:tcPr>
                  <w:tcW w:w="1582" w:type="dxa"/>
                  <w:vAlign w:val="center"/>
                </w:tcPr>
                <w:p w14:paraId="48771E74">
                  <w:pPr>
                    <w:pStyle w:val="15"/>
                  </w:pPr>
                  <w:r>
                    <w:rPr>
                      <w:rFonts w:hint="eastAsia"/>
                    </w:rPr>
                    <w:t>万套/年</w:t>
                  </w:r>
                </w:p>
              </w:tc>
              <w:tc>
                <w:tcPr>
                  <w:tcW w:w="1455" w:type="dxa"/>
                  <w:vAlign w:val="center"/>
                </w:tcPr>
                <w:p w14:paraId="757B6B35">
                  <w:pPr>
                    <w:pStyle w:val="15"/>
                  </w:pPr>
                  <w:r>
                    <w:rPr>
                      <w:rFonts w:hint="eastAsia"/>
                    </w:rPr>
                    <w:t>/</w:t>
                  </w:r>
                </w:p>
              </w:tc>
            </w:tr>
          </w:tbl>
          <w:p w14:paraId="52DF913C">
            <w:pPr>
              <w:pStyle w:val="16"/>
              <w:ind w:firstLine="482"/>
            </w:pPr>
            <w:r>
              <w:rPr>
                <w:rFonts w:hint="eastAsia"/>
              </w:rPr>
              <w:t>5、主要原辅材料</w:t>
            </w:r>
          </w:p>
          <w:p w14:paraId="6E349EC8">
            <w:pPr>
              <w:pStyle w:val="17"/>
              <w:ind w:firstLine="480"/>
            </w:pPr>
            <w:r>
              <w:rPr>
                <w:rFonts w:hint="eastAsia"/>
              </w:rPr>
              <w:t>根据企业提供的资料，主要原辅材料情况详见下表。</w:t>
            </w:r>
          </w:p>
          <w:p w14:paraId="3BCC4F30">
            <w:pPr>
              <w:pStyle w:val="18"/>
            </w:pPr>
            <w:r>
              <w:rPr>
                <w:rFonts w:hint="eastAsia"/>
              </w:rPr>
              <w:t>表2-3  主要原材料表</w:t>
            </w:r>
          </w:p>
          <w:tbl>
            <w:tblPr>
              <w:tblStyle w:val="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1721"/>
              <w:gridCol w:w="1782"/>
              <w:gridCol w:w="1750"/>
              <w:gridCol w:w="1797"/>
            </w:tblGrid>
            <w:tr w14:paraId="4E664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 w:type="pct"/>
                </w:tcPr>
                <w:p w14:paraId="2B958EEC">
                  <w:pPr>
                    <w:pStyle w:val="15"/>
                  </w:pPr>
                  <w:r>
                    <w:rPr>
                      <w:rFonts w:hint="eastAsia"/>
                    </w:rPr>
                    <w:t>序号</w:t>
                  </w:r>
                </w:p>
              </w:tc>
              <w:tc>
                <w:tcPr>
                  <w:tcW w:w="1097" w:type="pct"/>
                </w:tcPr>
                <w:p w14:paraId="7ABE39FB">
                  <w:pPr>
                    <w:pStyle w:val="15"/>
                  </w:pPr>
                  <w:r>
                    <w:rPr>
                      <w:rFonts w:hint="eastAsia"/>
                    </w:rPr>
                    <w:t>名称</w:t>
                  </w:r>
                </w:p>
              </w:tc>
              <w:tc>
                <w:tcPr>
                  <w:tcW w:w="1136" w:type="pct"/>
                </w:tcPr>
                <w:p w14:paraId="44FE5DE7">
                  <w:pPr>
                    <w:pStyle w:val="15"/>
                  </w:pPr>
                  <w:r>
                    <w:rPr>
                      <w:rFonts w:hint="eastAsia"/>
                    </w:rPr>
                    <w:t>状态</w:t>
                  </w:r>
                </w:p>
              </w:tc>
              <w:tc>
                <w:tcPr>
                  <w:tcW w:w="1116" w:type="pct"/>
                </w:tcPr>
                <w:p w14:paraId="64009C8C">
                  <w:pPr>
                    <w:pStyle w:val="15"/>
                  </w:pPr>
                  <w:r>
                    <w:rPr>
                      <w:rFonts w:hint="eastAsia"/>
                    </w:rPr>
                    <w:t>年用量（t）</w:t>
                  </w:r>
                </w:p>
              </w:tc>
              <w:tc>
                <w:tcPr>
                  <w:tcW w:w="1146" w:type="pct"/>
                </w:tcPr>
                <w:p w14:paraId="2A28063A">
                  <w:pPr>
                    <w:pStyle w:val="15"/>
                  </w:pPr>
                  <w:r>
                    <w:rPr>
                      <w:rFonts w:hint="eastAsia"/>
                    </w:rPr>
                    <w:t>最大储存量（t）</w:t>
                  </w:r>
                </w:p>
              </w:tc>
            </w:tr>
            <w:tr w14:paraId="19319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 w:type="pct"/>
                </w:tcPr>
                <w:p w14:paraId="78720F09">
                  <w:pPr>
                    <w:pStyle w:val="15"/>
                  </w:pPr>
                  <w:r>
                    <w:rPr>
                      <w:rFonts w:hint="eastAsia"/>
                    </w:rPr>
                    <w:t>1</w:t>
                  </w:r>
                </w:p>
              </w:tc>
              <w:tc>
                <w:tcPr>
                  <w:tcW w:w="1097" w:type="pct"/>
                </w:tcPr>
                <w:p w14:paraId="1D63FFD7">
                  <w:pPr>
                    <w:pStyle w:val="15"/>
                  </w:pPr>
                  <w:r>
                    <w:rPr>
                      <w:rFonts w:hint="eastAsia"/>
                    </w:rPr>
                    <w:t>浸泡粉</w:t>
                  </w:r>
                </w:p>
              </w:tc>
              <w:tc>
                <w:tcPr>
                  <w:tcW w:w="1136" w:type="pct"/>
                </w:tcPr>
                <w:p w14:paraId="7A44187E">
                  <w:pPr>
                    <w:pStyle w:val="15"/>
                  </w:pPr>
                  <w:r>
                    <w:rPr>
                      <w:rFonts w:hint="eastAsia"/>
                    </w:rPr>
                    <w:t>粉末状</w:t>
                  </w:r>
                </w:p>
              </w:tc>
              <w:tc>
                <w:tcPr>
                  <w:tcW w:w="1116" w:type="pct"/>
                </w:tcPr>
                <w:p w14:paraId="410B445C">
                  <w:pPr>
                    <w:pStyle w:val="15"/>
                  </w:pPr>
                  <w:r>
                    <w:rPr>
                      <w:rFonts w:hint="eastAsia"/>
                    </w:rPr>
                    <w:t>2.4</w:t>
                  </w:r>
                </w:p>
              </w:tc>
              <w:tc>
                <w:tcPr>
                  <w:tcW w:w="1146" w:type="pct"/>
                </w:tcPr>
                <w:p w14:paraId="2082A616">
                  <w:pPr>
                    <w:pStyle w:val="15"/>
                  </w:pPr>
                  <w:r>
                    <w:rPr>
                      <w:rFonts w:hint="eastAsia"/>
                    </w:rPr>
                    <w:t>1.2</w:t>
                  </w:r>
                </w:p>
              </w:tc>
            </w:tr>
            <w:tr w14:paraId="1A55F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 w:type="pct"/>
                </w:tcPr>
                <w:p w14:paraId="3CB24609">
                  <w:pPr>
                    <w:pStyle w:val="15"/>
                  </w:pPr>
                  <w:r>
                    <w:rPr>
                      <w:rFonts w:hint="eastAsia"/>
                    </w:rPr>
                    <w:t>2</w:t>
                  </w:r>
                </w:p>
              </w:tc>
              <w:tc>
                <w:tcPr>
                  <w:tcW w:w="1097" w:type="pct"/>
                </w:tcPr>
                <w:p w14:paraId="0F08B36C">
                  <w:pPr>
                    <w:pStyle w:val="15"/>
                  </w:pPr>
                  <w:r>
                    <w:rPr>
                      <w:rFonts w:hint="eastAsia"/>
                    </w:rPr>
                    <w:t>浸泡液</w:t>
                  </w:r>
                </w:p>
              </w:tc>
              <w:tc>
                <w:tcPr>
                  <w:tcW w:w="1136" w:type="pct"/>
                </w:tcPr>
                <w:p w14:paraId="08933A14">
                  <w:pPr>
                    <w:pStyle w:val="15"/>
                  </w:pPr>
                  <w:r>
                    <w:rPr>
                      <w:rFonts w:hint="eastAsia"/>
                    </w:rPr>
                    <w:t>液态</w:t>
                  </w:r>
                </w:p>
              </w:tc>
              <w:tc>
                <w:tcPr>
                  <w:tcW w:w="1116" w:type="pct"/>
                </w:tcPr>
                <w:p w14:paraId="1B8FAB23">
                  <w:pPr>
                    <w:pStyle w:val="15"/>
                  </w:pPr>
                  <w:r>
                    <w:rPr>
                      <w:rFonts w:hint="eastAsia"/>
                    </w:rPr>
                    <w:t>4.8</w:t>
                  </w:r>
                </w:p>
              </w:tc>
              <w:tc>
                <w:tcPr>
                  <w:tcW w:w="1146" w:type="pct"/>
                </w:tcPr>
                <w:p w14:paraId="26209E18">
                  <w:pPr>
                    <w:pStyle w:val="15"/>
                  </w:pPr>
                  <w:r>
                    <w:rPr>
                      <w:rFonts w:hint="eastAsia"/>
                    </w:rPr>
                    <w:t>2.4</w:t>
                  </w:r>
                </w:p>
              </w:tc>
            </w:tr>
            <w:tr w14:paraId="2036B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 w:type="pct"/>
                </w:tcPr>
                <w:p w14:paraId="1EDA176C">
                  <w:pPr>
                    <w:pStyle w:val="15"/>
                  </w:pPr>
                  <w:r>
                    <w:rPr>
                      <w:rFonts w:hint="eastAsia"/>
                    </w:rPr>
                    <w:t>3</w:t>
                  </w:r>
                </w:p>
              </w:tc>
              <w:tc>
                <w:tcPr>
                  <w:tcW w:w="1097" w:type="pct"/>
                </w:tcPr>
                <w:p w14:paraId="33E22602">
                  <w:pPr>
                    <w:pStyle w:val="15"/>
                  </w:pPr>
                  <w:r>
                    <w:rPr>
                      <w:rFonts w:hint="eastAsia"/>
                    </w:rPr>
                    <w:t>包装膜</w:t>
                  </w:r>
                </w:p>
              </w:tc>
              <w:tc>
                <w:tcPr>
                  <w:tcW w:w="1136" w:type="pct"/>
                </w:tcPr>
                <w:p w14:paraId="54B776E3">
                  <w:pPr>
                    <w:pStyle w:val="15"/>
                  </w:pPr>
                  <w:r>
                    <w:rPr>
                      <w:rFonts w:hint="eastAsia"/>
                    </w:rPr>
                    <w:t>固态</w:t>
                  </w:r>
                </w:p>
              </w:tc>
              <w:tc>
                <w:tcPr>
                  <w:tcW w:w="1116" w:type="pct"/>
                </w:tcPr>
                <w:p w14:paraId="639ABF39">
                  <w:pPr>
                    <w:pStyle w:val="15"/>
                  </w:pPr>
                  <w:r>
                    <w:rPr>
                      <w:rFonts w:hint="eastAsia"/>
                    </w:rPr>
                    <w:t>2</w:t>
                  </w:r>
                </w:p>
              </w:tc>
              <w:tc>
                <w:tcPr>
                  <w:tcW w:w="1146" w:type="pct"/>
                </w:tcPr>
                <w:p w14:paraId="457AEF92">
                  <w:pPr>
                    <w:pStyle w:val="15"/>
                  </w:pPr>
                  <w:r>
                    <w:rPr>
                      <w:rFonts w:hint="eastAsia"/>
                    </w:rPr>
                    <w:t>1</w:t>
                  </w:r>
                </w:p>
              </w:tc>
            </w:tr>
            <w:tr w14:paraId="421E8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2" w:type="pct"/>
                </w:tcPr>
                <w:p w14:paraId="73A764AA">
                  <w:pPr>
                    <w:pStyle w:val="15"/>
                  </w:pPr>
                  <w:r>
                    <w:rPr>
                      <w:rFonts w:hint="eastAsia"/>
                    </w:rPr>
                    <w:t>4</w:t>
                  </w:r>
                </w:p>
              </w:tc>
              <w:tc>
                <w:tcPr>
                  <w:tcW w:w="1097" w:type="pct"/>
                </w:tcPr>
                <w:p w14:paraId="0F7183C6">
                  <w:pPr>
                    <w:pStyle w:val="15"/>
                    <w:rPr>
                      <w:highlight w:val="yellow"/>
                    </w:rPr>
                  </w:pPr>
                  <w:r>
                    <w:rPr>
                      <w:rFonts w:hint="eastAsia"/>
                    </w:rPr>
                    <w:t>生物质颗粒</w:t>
                  </w:r>
                </w:p>
              </w:tc>
              <w:tc>
                <w:tcPr>
                  <w:tcW w:w="1136" w:type="pct"/>
                </w:tcPr>
                <w:p w14:paraId="56AFB833">
                  <w:pPr>
                    <w:pStyle w:val="15"/>
                  </w:pPr>
                  <w:r>
                    <w:rPr>
                      <w:rFonts w:hint="eastAsia"/>
                    </w:rPr>
                    <w:t>固态</w:t>
                  </w:r>
                </w:p>
              </w:tc>
              <w:tc>
                <w:tcPr>
                  <w:tcW w:w="1116" w:type="pct"/>
                </w:tcPr>
                <w:p w14:paraId="10D0697A">
                  <w:pPr>
                    <w:pStyle w:val="15"/>
                    <w:rPr>
                      <w:rFonts w:hint="default"/>
                      <w:lang w:val="en-US"/>
                    </w:rPr>
                  </w:pPr>
                  <w:r>
                    <w:rPr>
                      <w:rFonts w:hint="eastAsia"/>
                      <w:lang w:val="en-US" w:eastAsia="zh-CN"/>
                    </w:rPr>
                    <w:t>2080</w:t>
                  </w:r>
                </w:p>
              </w:tc>
              <w:tc>
                <w:tcPr>
                  <w:tcW w:w="1146" w:type="pct"/>
                </w:tcPr>
                <w:p w14:paraId="2009E66E">
                  <w:pPr>
                    <w:pStyle w:val="15"/>
                  </w:pPr>
                  <w:r>
                    <w:rPr>
                      <w:rFonts w:hint="eastAsia"/>
                    </w:rPr>
                    <w:t>10</w:t>
                  </w:r>
                </w:p>
              </w:tc>
            </w:tr>
          </w:tbl>
          <w:p w14:paraId="5BF503AD">
            <w:pPr>
              <w:pStyle w:val="17"/>
              <w:ind w:firstLine="422"/>
              <w:rPr>
                <w:b/>
                <w:bCs/>
                <w:sz w:val="21"/>
                <w:szCs w:val="21"/>
              </w:rPr>
            </w:pPr>
            <w:r>
              <w:rPr>
                <w:rFonts w:hint="eastAsia"/>
                <w:b/>
                <w:bCs/>
                <w:sz w:val="21"/>
                <w:szCs w:val="21"/>
              </w:rPr>
              <w:t>理化性质：</w:t>
            </w:r>
          </w:p>
          <w:p w14:paraId="369E0465">
            <w:pPr>
              <w:pStyle w:val="17"/>
              <w:spacing w:line="240" w:lineRule="auto"/>
              <w:ind w:firstLine="420"/>
              <w:rPr>
                <w:sz w:val="21"/>
                <w:szCs w:val="21"/>
              </w:rPr>
            </w:pPr>
            <w:r>
              <w:rPr>
                <w:sz w:val="21"/>
                <w:szCs w:val="21"/>
              </w:rPr>
              <w:t>①浸泡粉</w:t>
            </w:r>
            <w:r>
              <w:rPr>
                <w:rFonts w:hint="eastAsia"/>
                <w:sz w:val="21"/>
                <w:szCs w:val="21"/>
              </w:rPr>
              <w:t>：</w:t>
            </w:r>
            <w:r>
              <w:rPr>
                <w:sz w:val="21"/>
                <w:szCs w:val="21"/>
              </w:rPr>
              <w:t>粉末状，易溶于水，水溶液为碱性。由多种表面活性剂、助剂、碳酸钠等组成。浸泡粉具有祛油污快，安全可靠，无毒无味等优异性能。富含超强洁净因子和多种表面活性剂，是一种优良的水基净洗剂，迅速分解油污，顽固污渍，低泡配方，省水省力等优异功能。餐具表面的油污，污渍，茶垢等，只需要浸泡几分钟，油渍瞬间去无踪。温度在土五摄氏度以上，去污速度更快，持续作用时间长而快。主要用于餐县的清洗、浸泡。于该产品是超浓缩产品，使用前应先溶解，可提高产品的使用效率。该产品无毒无味、但碱高，所以使用时最好戴手套。该产品专业用于餐具消毒公司。此产品一次投入可反复使用，如果发现去污效果下降，可适量补充产品，以保证洗涤效果。</w:t>
            </w:r>
          </w:p>
          <w:p w14:paraId="6D54FB4A">
            <w:pPr>
              <w:pStyle w:val="17"/>
              <w:spacing w:line="240" w:lineRule="auto"/>
              <w:ind w:firstLine="420"/>
              <w:rPr>
                <w:sz w:val="21"/>
                <w:szCs w:val="21"/>
              </w:rPr>
            </w:pPr>
            <w:r>
              <w:rPr>
                <w:sz w:val="21"/>
                <w:szCs w:val="21"/>
              </w:rPr>
              <w:t>②</w:t>
            </w:r>
            <w:r>
              <w:rPr>
                <w:rFonts w:hint="eastAsia"/>
                <w:sz w:val="21"/>
                <w:szCs w:val="21"/>
              </w:rPr>
              <w:t>浸泡液</w:t>
            </w:r>
            <w:r>
              <w:rPr>
                <w:sz w:val="21"/>
                <w:szCs w:val="21"/>
              </w:rPr>
              <w:t>：添加于洗碗流水线中进行洗碗，为无磷洗涤剂，其主要成分是烷基磺酸钠（5.5%）、脂肪醇醚硫酸钠（3%～4%）、泡沫剂、增溶剂、水等。去污原理很简单，它含有多种活性成分、乳化剂，这些成分对各种油腻污渍、有害物质溶解、乳化，分散悬浮，随后清水漂洗从餐具表面分离出去，达到洁净餐具的效果。</w:t>
            </w:r>
          </w:p>
          <w:p w14:paraId="079D6365">
            <w:pPr>
              <w:pStyle w:val="17"/>
              <w:spacing w:line="240" w:lineRule="auto"/>
              <w:ind w:firstLine="420"/>
              <w:rPr>
                <w:sz w:val="21"/>
                <w:szCs w:val="21"/>
              </w:rPr>
            </w:pPr>
            <w:r>
              <w:rPr>
                <w:sz w:val="21"/>
                <w:szCs w:val="21"/>
              </w:rPr>
              <w:t>③</w:t>
            </w:r>
            <w:r>
              <w:rPr>
                <w:rFonts w:hint="eastAsia"/>
                <w:sz w:val="21"/>
                <w:szCs w:val="21"/>
              </w:rPr>
              <w:t>包装膜</w:t>
            </w:r>
            <w:r>
              <w:rPr>
                <w:sz w:val="21"/>
                <w:szCs w:val="21"/>
              </w:rPr>
              <w:t>：多层共挤聚烯烃热收缩膜，它是将线性低密度聚乙烯作为中间层，共聚丙烯</w:t>
            </w:r>
            <w:r>
              <w:rPr>
                <w:rFonts w:hint="eastAsia"/>
                <w:sz w:val="21"/>
                <w:szCs w:val="21"/>
              </w:rPr>
              <w:t>（</w:t>
            </w:r>
            <w:r>
              <w:rPr>
                <w:sz w:val="21"/>
                <w:szCs w:val="21"/>
              </w:rPr>
              <w:t>pp</w:t>
            </w:r>
            <w:r>
              <w:rPr>
                <w:rFonts w:hint="eastAsia"/>
                <w:sz w:val="21"/>
                <w:szCs w:val="21"/>
              </w:rPr>
              <w:t>）</w:t>
            </w:r>
            <w:r>
              <w:rPr>
                <w:sz w:val="21"/>
                <w:szCs w:val="21"/>
              </w:rPr>
              <w:t>作为内、外层，通过挤出机塑化挤出，再经模头成型、膜泡吹胀等特殊工艺加工而成的。由于其无毒环保、高透明度、高收缩率、良好的</w:t>
            </w:r>
            <w:r>
              <w:rPr>
                <w:rFonts w:hint="eastAsia"/>
                <w:sz w:val="21"/>
                <w:szCs w:val="21"/>
              </w:rPr>
              <w:t>。热封性能、表面光泽度高、韧性好、抗撕裂强度大、热收缩均匀及适合全自动高速包装等特点。</w:t>
            </w:r>
          </w:p>
          <w:p w14:paraId="64DC8615">
            <w:pPr>
              <w:pStyle w:val="17"/>
              <w:spacing w:line="240" w:lineRule="auto"/>
              <w:ind w:firstLine="420"/>
              <w:rPr>
                <w:sz w:val="21"/>
                <w:szCs w:val="21"/>
              </w:rPr>
            </w:pPr>
            <w:r>
              <w:rPr>
                <w:sz w:val="21"/>
                <w:szCs w:val="21"/>
              </w:rPr>
              <w:t>④</w:t>
            </w:r>
            <w:r>
              <w:rPr>
                <w:rFonts w:hint="eastAsia"/>
                <w:sz w:val="21"/>
                <w:szCs w:val="21"/>
              </w:rPr>
              <w:t>生物质颗粒</w:t>
            </w:r>
            <w:r>
              <w:rPr>
                <w:sz w:val="21"/>
                <w:szCs w:val="21"/>
              </w:rPr>
              <w:t>：是由秸秆、稻草、花生壳、玉米芯、油茶壳、棉籽壳等以及固体废弃物</w:t>
            </w:r>
            <w:r>
              <w:rPr>
                <w:rFonts w:hint="eastAsia"/>
                <w:sz w:val="21"/>
                <w:szCs w:val="21"/>
              </w:rPr>
              <w:t>（</w:t>
            </w:r>
            <w:r>
              <w:rPr>
                <w:sz w:val="21"/>
                <w:szCs w:val="21"/>
              </w:rPr>
              <w:t>糠醛渣、食用菌渣等</w:t>
            </w:r>
            <w:r>
              <w:rPr>
                <w:rFonts w:hint="eastAsia"/>
                <w:sz w:val="21"/>
                <w:szCs w:val="21"/>
              </w:rPr>
              <w:t>）</w:t>
            </w:r>
            <w:r>
              <w:rPr>
                <w:sz w:val="21"/>
                <w:szCs w:val="21"/>
              </w:rPr>
              <w:t>加工而成的环保新能源，一般为颗粒状。</w:t>
            </w:r>
          </w:p>
          <w:p w14:paraId="542369E9">
            <w:pPr>
              <w:pStyle w:val="17"/>
              <w:spacing w:line="240" w:lineRule="auto"/>
              <w:ind w:firstLine="422"/>
              <w:rPr>
                <w:b/>
                <w:bCs/>
                <w:sz w:val="21"/>
                <w:szCs w:val="21"/>
                <w:highlight w:val="yellow"/>
              </w:rPr>
            </w:pPr>
            <w:r>
              <w:rPr>
                <w:b/>
                <w:bCs/>
                <w:sz w:val="21"/>
                <w:szCs w:val="21"/>
                <w:highlight w:val="none"/>
              </w:rPr>
              <w:t>生物质用量的核算：</w:t>
            </w:r>
            <w:r>
              <w:rPr>
                <w:rFonts w:hint="eastAsia"/>
                <w:b w:val="0"/>
                <w:bCs w:val="0"/>
                <w:sz w:val="21"/>
                <w:szCs w:val="21"/>
                <w:highlight w:val="none"/>
              </w:rPr>
              <w:t>常温水位25℃</w:t>
            </w:r>
            <w:r>
              <w:rPr>
                <w:rFonts w:hint="eastAsia"/>
                <w:b w:val="0"/>
                <w:bCs w:val="0"/>
                <w:sz w:val="21"/>
                <w:szCs w:val="21"/>
                <w:highlight w:val="none"/>
                <w:lang w:eastAsia="zh-CN"/>
              </w:rPr>
              <w:t>，</w:t>
            </w:r>
            <w:r>
              <w:rPr>
                <w:rFonts w:hint="eastAsia"/>
                <w:b w:val="0"/>
                <w:bCs w:val="0"/>
                <w:sz w:val="21"/>
                <w:szCs w:val="21"/>
                <w:highlight w:val="none"/>
              </w:rPr>
              <w:t>25℃升温到100℃需要热量</w:t>
            </w:r>
            <w:r>
              <w:rPr>
                <w:rFonts w:hint="eastAsia"/>
                <w:b w:val="0"/>
                <w:bCs w:val="0"/>
                <w:sz w:val="21"/>
                <w:szCs w:val="21"/>
                <w:highlight w:val="none"/>
                <w:lang w:val="en-US" w:eastAsia="zh-CN"/>
              </w:rPr>
              <w:t>为：</w:t>
            </w:r>
            <w:r>
              <w:rPr>
                <w:rFonts w:hint="eastAsia"/>
                <w:b w:val="0"/>
                <w:bCs w:val="0"/>
                <w:sz w:val="21"/>
                <w:szCs w:val="21"/>
                <w:highlight w:val="none"/>
              </w:rPr>
              <w:t>（（100-25）×比热4.2kJ/kg×1000kg/吨水=315000kJ</w:t>
            </w:r>
            <w:r>
              <w:rPr>
                <w:rFonts w:hint="eastAsia"/>
                <w:b w:val="0"/>
                <w:bCs w:val="0"/>
                <w:sz w:val="21"/>
                <w:szCs w:val="21"/>
                <w:highlight w:val="none"/>
                <w:lang w:eastAsia="zh-CN"/>
              </w:rPr>
              <w:t>，</w:t>
            </w:r>
            <w:r>
              <w:rPr>
                <w:rFonts w:hint="eastAsia"/>
                <w:b w:val="0"/>
                <w:bCs w:val="0"/>
                <w:sz w:val="21"/>
                <w:szCs w:val="21"/>
                <w:highlight w:val="none"/>
              </w:rPr>
              <w:t>100℃水汽化需要热量：汽化热2260kJ/kg×1000kg/吨水=2260000kJ</w:t>
            </w:r>
            <w:r>
              <w:rPr>
                <w:rFonts w:hint="eastAsia"/>
                <w:b w:val="0"/>
                <w:bCs w:val="0"/>
                <w:sz w:val="21"/>
                <w:szCs w:val="21"/>
                <w:highlight w:val="none"/>
                <w:lang w:eastAsia="zh-CN"/>
              </w:rPr>
              <w:t>，</w:t>
            </w:r>
            <w:r>
              <w:rPr>
                <w:rFonts w:hint="eastAsia"/>
                <w:b w:val="0"/>
                <w:bCs w:val="0"/>
                <w:sz w:val="21"/>
                <w:szCs w:val="21"/>
                <w:highlight w:val="none"/>
              </w:rPr>
              <w:t>100℃蒸汽过热到150℃需要热量：150-100）×比热2.1kJ/kg×1000kg/吨水=105000kJ</w:t>
            </w:r>
            <w:r>
              <w:rPr>
                <w:rFonts w:hint="eastAsia"/>
                <w:b w:val="0"/>
                <w:bCs w:val="0"/>
                <w:sz w:val="21"/>
                <w:szCs w:val="21"/>
                <w:highlight w:val="none"/>
                <w:lang w:eastAsia="zh-CN"/>
              </w:rPr>
              <w:t>，</w:t>
            </w:r>
            <w:r>
              <w:rPr>
                <w:rFonts w:hint="eastAsia"/>
                <w:b w:val="0"/>
                <w:bCs w:val="0"/>
                <w:sz w:val="21"/>
                <w:szCs w:val="21"/>
                <w:highlight w:val="none"/>
              </w:rPr>
              <w:t>合计需要热量</w:t>
            </w:r>
            <w:r>
              <w:rPr>
                <w:rFonts w:hint="eastAsia"/>
                <w:b w:val="0"/>
                <w:bCs w:val="0"/>
                <w:sz w:val="21"/>
                <w:szCs w:val="21"/>
                <w:highlight w:val="none"/>
                <w:lang w:val="en-US" w:eastAsia="zh-CN"/>
              </w:rPr>
              <w:t>为</w:t>
            </w:r>
            <w:r>
              <w:rPr>
                <w:rFonts w:hint="eastAsia"/>
                <w:b w:val="0"/>
                <w:bCs w:val="0"/>
                <w:sz w:val="21"/>
                <w:szCs w:val="21"/>
                <w:highlight w:val="none"/>
              </w:rPr>
              <w:t>26800000kJ/吨水</w:t>
            </w:r>
            <w:r>
              <w:rPr>
                <w:rFonts w:hint="eastAsia"/>
                <w:b w:val="0"/>
                <w:bCs w:val="0"/>
                <w:sz w:val="21"/>
                <w:szCs w:val="21"/>
                <w:highlight w:val="none"/>
                <w:lang w:eastAsia="zh-CN"/>
              </w:rPr>
              <w:t>；生物质燃料低位热值5061.13kJ/kg，热效率考虑为85%，</w:t>
            </w:r>
            <w:r>
              <w:rPr>
                <w:rFonts w:hint="eastAsia"/>
                <w:b w:val="0"/>
                <w:bCs w:val="0"/>
                <w:sz w:val="21"/>
                <w:szCs w:val="21"/>
                <w:highlight w:val="none"/>
                <w:lang w:val="en-US" w:eastAsia="zh-CN"/>
              </w:rPr>
              <w:t>则消耗1吨生物质产生热量：5061.13kJ/kg×热效率85%×1000kg/吨=4301960.5kJ，消耗1吨生物质可产生蒸汽量：4301960.5kJ÷26800000kJ/吨水=1.61吨蒸汽；本项目2.1t/h的蒸汽锅炉满负荷运行、消耗生物质量：2.1÷1.61=1.3吨；锅炉使用时间为1600h，则生物质年用量为2080t/a。</w:t>
            </w:r>
          </w:p>
          <w:p w14:paraId="1675AAE8">
            <w:pPr>
              <w:pStyle w:val="16"/>
              <w:ind w:firstLine="482"/>
            </w:pPr>
            <w:r>
              <w:rPr>
                <w:rFonts w:hint="eastAsia"/>
              </w:rPr>
              <w:t>5、主要生产设备</w:t>
            </w:r>
          </w:p>
          <w:p w14:paraId="031DD9AF">
            <w:pPr>
              <w:pStyle w:val="17"/>
              <w:ind w:firstLine="480"/>
            </w:pPr>
            <w:r>
              <w:rPr>
                <w:rFonts w:hint="eastAsia"/>
              </w:rPr>
              <w:t>根据企业提供的资料，主要生产设备详见下表。</w:t>
            </w:r>
          </w:p>
          <w:p w14:paraId="5E0A48DD">
            <w:pPr>
              <w:pStyle w:val="18"/>
            </w:pPr>
            <w:r>
              <w:rPr>
                <w:rFonts w:hint="eastAsia"/>
              </w:rPr>
              <w:t>表2-4  主要生产设备表</w:t>
            </w:r>
          </w:p>
          <w:tbl>
            <w:tblPr>
              <w:tblStyle w:val="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2288"/>
              <w:gridCol w:w="2333"/>
              <w:gridCol w:w="1944"/>
            </w:tblGrid>
            <w:tr w14:paraId="21473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1" w:type="pct"/>
                  <w:vAlign w:val="center"/>
                </w:tcPr>
                <w:p w14:paraId="5F3235B0">
                  <w:pPr>
                    <w:pStyle w:val="15"/>
                  </w:pPr>
                  <w:r>
                    <w:rPr>
                      <w:rFonts w:hint="eastAsia"/>
                    </w:rPr>
                    <w:t>序号</w:t>
                  </w:r>
                </w:p>
              </w:tc>
              <w:tc>
                <w:tcPr>
                  <w:tcW w:w="1459" w:type="pct"/>
                  <w:vAlign w:val="center"/>
                </w:tcPr>
                <w:p w14:paraId="64781FA1">
                  <w:pPr>
                    <w:pStyle w:val="15"/>
                  </w:pPr>
                  <w:r>
                    <w:rPr>
                      <w:rFonts w:hint="eastAsia"/>
                    </w:rPr>
                    <w:t>设备名称</w:t>
                  </w:r>
                </w:p>
              </w:tc>
              <w:tc>
                <w:tcPr>
                  <w:tcW w:w="1488" w:type="pct"/>
                  <w:vAlign w:val="center"/>
                </w:tcPr>
                <w:p w14:paraId="4125B9DA">
                  <w:pPr>
                    <w:pStyle w:val="15"/>
                  </w:pPr>
                  <w:r>
                    <w:rPr>
                      <w:rFonts w:hint="eastAsia"/>
                    </w:rPr>
                    <w:t>规格型号</w:t>
                  </w:r>
                </w:p>
              </w:tc>
              <w:tc>
                <w:tcPr>
                  <w:tcW w:w="1240" w:type="pct"/>
                  <w:vAlign w:val="center"/>
                </w:tcPr>
                <w:p w14:paraId="6DD359FB">
                  <w:pPr>
                    <w:pStyle w:val="15"/>
                  </w:pPr>
                  <w:r>
                    <w:rPr>
                      <w:rFonts w:hint="eastAsia"/>
                    </w:rPr>
                    <w:t>数量</w:t>
                  </w:r>
                </w:p>
              </w:tc>
            </w:tr>
            <w:tr w14:paraId="27C8D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vAlign w:val="center"/>
                </w:tcPr>
                <w:p w14:paraId="0B3AF201">
                  <w:pPr>
                    <w:pStyle w:val="15"/>
                  </w:pPr>
                  <w:r>
                    <w:rPr>
                      <w:rFonts w:hint="eastAsia"/>
                    </w:rPr>
                    <w:t>1</w:t>
                  </w:r>
                </w:p>
              </w:tc>
              <w:tc>
                <w:tcPr>
                  <w:tcW w:w="1459" w:type="pct"/>
                  <w:vAlign w:val="center"/>
                </w:tcPr>
                <w:p w14:paraId="71EA3027">
                  <w:pPr>
                    <w:pStyle w:val="15"/>
                  </w:pPr>
                  <w:r>
                    <w:rPr>
                      <w:rFonts w:hint="eastAsia"/>
                    </w:rPr>
                    <w:t>洗碗生产线</w:t>
                  </w:r>
                </w:p>
              </w:tc>
              <w:tc>
                <w:tcPr>
                  <w:tcW w:w="1488" w:type="pct"/>
                  <w:vAlign w:val="center"/>
                </w:tcPr>
                <w:p w14:paraId="0E6F7C9A">
                  <w:pPr>
                    <w:pStyle w:val="15"/>
                  </w:pPr>
                  <w:r>
                    <w:rPr>
                      <w:rFonts w:hint="eastAsia"/>
                    </w:rPr>
                    <w:t>LS-1680</w:t>
                  </w:r>
                </w:p>
              </w:tc>
              <w:tc>
                <w:tcPr>
                  <w:tcW w:w="1240" w:type="pct"/>
                  <w:vAlign w:val="center"/>
                </w:tcPr>
                <w:p w14:paraId="47A1220A">
                  <w:pPr>
                    <w:pStyle w:val="15"/>
                  </w:pPr>
                  <w:r>
                    <w:rPr>
                      <w:rFonts w:hint="eastAsia"/>
                    </w:rPr>
                    <w:t>1条</w:t>
                  </w:r>
                </w:p>
              </w:tc>
            </w:tr>
            <w:tr w14:paraId="2EF83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vAlign w:val="center"/>
                </w:tcPr>
                <w:p w14:paraId="2C86D472">
                  <w:pPr>
                    <w:pStyle w:val="15"/>
                  </w:pPr>
                  <w:r>
                    <w:rPr>
                      <w:rFonts w:hint="eastAsia"/>
                    </w:rPr>
                    <w:t>2</w:t>
                  </w:r>
                </w:p>
              </w:tc>
              <w:tc>
                <w:tcPr>
                  <w:tcW w:w="1459" w:type="pct"/>
                  <w:vAlign w:val="center"/>
                </w:tcPr>
                <w:p w14:paraId="04239FBE">
                  <w:pPr>
                    <w:pStyle w:val="15"/>
                  </w:pPr>
                  <w:r>
                    <w:rPr>
                      <w:rFonts w:hint="eastAsia"/>
                    </w:rPr>
                    <w:t>洗筷勺生产线</w:t>
                  </w:r>
                </w:p>
              </w:tc>
              <w:tc>
                <w:tcPr>
                  <w:tcW w:w="1488" w:type="pct"/>
                  <w:vAlign w:val="center"/>
                </w:tcPr>
                <w:p w14:paraId="22B675F3">
                  <w:pPr>
                    <w:pStyle w:val="15"/>
                  </w:pPr>
                  <w:r>
                    <w:t>LS-415</w:t>
                  </w:r>
                </w:p>
              </w:tc>
              <w:tc>
                <w:tcPr>
                  <w:tcW w:w="1240" w:type="pct"/>
                  <w:vAlign w:val="center"/>
                </w:tcPr>
                <w:p w14:paraId="63925E42">
                  <w:pPr>
                    <w:pStyle w:val="15"/>
                  </w:pPr>
                  <w:r>
                    <w:rPr>
                      <w:rFonts w:hint="eastAsia"/>
                    </w:rPr>
                    <w:t>1条</w:t>
                  </w:r>
                </w:p>
              </w:tc>
            </w:tr>
            <w:tr w14:paraId="3BAD3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vAlign w:val="center"/>
                </w:tcPr>
                <w:p w14:paraId="1C19A00D">
                  <w:pPr>
                    <w:pStyle w:val="15"/>
                  </w:pPr>
                  <w:r>
                    <w:rPr>
                      <w:rFonts w:hint="eastAsia"/>
                    </w:rPr>
                    <w:t>3</w:t>
                  </w:r>
                </w:p>
              </w:tc>
              <w:tc>
                <w:tcPr>
                  <w:tcW w:w="1459" w:type="pct"/>
                  <w:vAlign w:val="center"/>
                </w:tcPr>
                <w:p w14:paraId="242AAE41">
                  <w:pPr>
                    <w:pStyle w:val="15"/>
                  </w:pPr>
                  <w:r>
                    <w:rPr>
                      <w:rFonts w:hint="eastAsia"/>
                    </w:rPr>
                    <w:t>洗箱生产线</w:t>
                  </w:r>
                </w:p>
              </w:tc>
              <w:tc>
                <w:tcPr>
                  <w:tcW w:w="1488" w:type="pct"/>
                  <w:vAlign w:val="center"/>
                </w:tcPr>
                <w:p w14:paraId="273E0865">
                  <w:pPr>
                    <w:pStyle w:val="15"/>
                  </w:pPr>
                  <w:r>
                    <w:rPr>
                      <w:rFonts w:hint="eastAsia"/>
                    </w:rPr>
                    <w:t>/</w:t>
                  </w:r>
                </w:p>
              </w:tc>
              <w:tc>
                <w:tcPr>
                  <w:tcW w:w="1240" w:type="pct"/>
                  <w:vAlign w:val="center"/>
                </w:tcPr>
                <w:p w14:paraId="3CF6E382">
                  <w:pPr>
                    <w:pStyle w:val="15"/>
                  </w:pPr>
                  <w:r>
                    <w:rPr>
                      <w:rFonts w:hint="eastAsia"/>
                    </w:rPr>
                    <w:t>1条</w:t>
                  </w:r>
                </w:p>
              </w:tc>
            </w:tr>
            <w:tr w14:paraId="496DA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shd w:val="clear" w:color="auto" w:fill="auto"/>
                  <w:vAlign w:val="center"/>
                </w:tcPr>
                <w:p w14:paraId="7160B42C">
                  <w:pPr>
                    <w:pStyle w:val="15"/>
                  </w:pPr>
                  <w:r>
                    <w:rPr>
                      <w:rFonts w:hint="eastAsia"/>
                    </w:rPr>
                    <w:t>4</w:t>
                  </w:r>
                </w:p>
              </w:tc>
              <w:tc>
                <w:tcPr>
                  <w:tcW w:w="1459" w:type="pct"/>
                  <w:vAlign w:val="center"/>
                </w:tcPr>
                <w:p w14:paraId="6DD5E8A7">
                  <w:pPr>
                    <w:pStyle w:val="15"/>
                  </w:pPr>
                  <w:r>
                    <w:rPr>
                      <w:rFonts w:hint="eastAsia"/>
                    </w:rPr>
                    <w:t>包装机</w:t>
                  </w:r>
                </w:p>
              </w:tc>
              <w:tc>
                <w:tcPr>
                  <w:tcW w:w="1488" w:type="pct"/>
                  <w:vAlign w:val="center"/>
                </w:tcPr>
                <w:p w14:paraId="7FA78345">
                  <w:pPr>
                    <w:pStyle w:val="15"/>
                  </w:pPr>
                  <w:r>
                    <w:rPr>
                      <w:rFonts w:hint="eastAsia"/>
                    </w:rPr>
                    <w:t>/</w:t>
                  </w:r>
                </w:p>
              </w:tc>
              <w:tc>
                <w:tcPr>
                  <w:tcW w:w="1240" w:type="pct"/>
                  <w:vAlign w:val="center"/>
                </w:tcPr>
                <w:p w14:paraId="094DC8A6">
                  <w:pPr>
                    <w:pStyle w:val="15"/>
                  </w:pPr>
                  <w:r>
                    <w:rPr>
                      <w:rFonts w:hint="eastAsia"/>
                    </w:rPr>
                    <w:t>1台</w:t>
                  </w:r>
                </w:p>
              </w:tc>
            </w:tr>
            <w:tr w14:paraId="1B66D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shd w:val="clear" w:color="auto" w:fill="auto"/>
                  <w:vAlign w:val="center"/>
                </w:tcPr>
                <w:p w14:paraId="039DFD80">
                  <w:pPr>
                    <w:pStyle w:val="15"/>
                  </w:pPr>
                  <w:r>
                    <w:rPr>
                      <w:rFonts w:hint="eastAsia"/>
                    </w:rPr>
                    <w:t>5</w:t>
                  </w:r>
                </w:p>
              </w:tc>
              <w:tc>
                <w:tcPr>
                  <w:tcW w:w="1459" w:type="pct"/>
                  <w:vAlign w:val="center"/>
                </w:tcPr>
                <w:p w14:paraId="3C4FF6C9">
                  <w:pPr>
                    <w:pStyle w:val="15"/>
                  </w:pPr>
                  <w:r>
                    <w:rPr>
                      <w:rFonts w:hint="eastAsia"/>
                    </w:rPr>
                    <w:t>生物质锅炉</w:t>
                  </w:r>
                </w:p>
              </w:tc>
              <w:tc>
                <w:tcPr>
                  <w:tcW w:w="1488" w:type="pct"/>
                  <w:vAlign w:val="center"/>
                </w:tcPr>
                <w:p w14:paraId="7F7575EB">
                  <w:pPr>
                    <w:pStyle w:val="15"/>
                    <w:rPr>
                      <w:rFonts w:hint="default" w:eastAsia="宋体"/>
                      <w:lang w:val="en-US" w:eastAsia="zh-CN"/>
                    </w:rPr>
                  </w:pPr>
                  <w:r>
                    <w:rPr>
                      <w:rFonts w:hint="eastAsia"/>
                      <w:lang w:val="en-US" w:eastAsia="zh-CN"/>
                    </w:rPr>
                    <w:t>1.5MW（2.1t/h）</w:t>
                  </w:r>
                </w:p>
              </w:tc>
              <w:tc>
                <w:tcPr>
                  <w:tcW w:w="1240" w:type="pct"/>
                  <w:vAlign w:val="center"/>
                </w:tcPr>
                <w:p w14:paraId="69738D1B">
                  <w:pPr>
                    <w:pStyle w:val="15"/>
                  </w:pPr>
                  <w:r>
                    <w:rPr>
                      <w:rFonts w:hint="eastAsia"/>
                    </w:rPr>
                    <w:t>1台</w:t>
                  </w:r>
                </w:p>
              </w:tc>
            </w:tr>
            <w:tr w14:paraId="214EA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vAlign w:val="center"/>
                </w:tcPr>
                <w:p w14:paraId="40631E02">
                  <w:pPr>
                    <w:pStyle w:val="15"/>
                  </w:pPr>
                  <w:r>
                    <w:rPr>
                      <w:rFonts w:hint="eastAsia"/>
                    </w:rPr>
                    <w:t>6</w:t>
                  </w:r>
                </w:p>
              </w:tc>
              <w:tc>
                <w:tcPr>
                  <w:tcW w:w="1459" w:type="pct"/>
                  <w:vAlign w:val="center"/>
                </w:tcPr>
                <w:p w14:paraId="708B20CC">
                  <w:pPr>
                    <w:pStyle w:val="15"/>
                  </w:pPr>
                  <w:r>
                    <w:rPr>
                      <w:rFonts w:hint="eastAsia"/>
                    </w:rPr>
                    <w:t>纯水设备</w:t>
                  </w:r>
                </w:p>
              </w:tc>
              <w:tc>
                <w:tcPr>
                  <w:tcW w:w="1488" w:type="pct"/>
                  <w:vAlign w:val="center"/>
                </w:tcPr>
                <w:p w14:paraId="5A7BC0D6">
                  <w:pPr>
                    <w:pStyle w:val="15"/>
                  </w:pPr>
                  <w:r>
                    <w:rPr>
                      <w:rFonts w:hint="eastAsia"/>
                    </w:rPr>
                    <w:t>LXJS-RO4000</w:t>
                  </w:r>
                </w:p>
              </w:tc>
              <w:tc>
                <w:tcPr>
                  <w:tcW w:w="1240" w:type="pct"/>
                  <w:vAlign w:val="center"/>
                </w:tcPr>
                <w:p w14:paraId="3C6059AC">
                  <w:pPr>
                    <w:pStyle w:val="15"/>
                  </w:pPr>
                  <w:r>
                    <w:rPr>
                      <w:rFonts w:hint="eastAsia"/>
                    </w:rPr>
                    <w:t>1台</w:t>
                  </w:r>
                </w:p>
              </w:tc>
            </w:tr>
          </w:tbl>
          <w:p w14:paraId="67092C3D">
            <w:pPr>
              <w:ind w:firstLine="482"/>
              <w:rPr>
                <w:b/>
                <w:bCs/>
              </w:rPr>
            </w:pPr>
            <w:r>
              <w:rPr>
                <w:rFonts w:hint="eastAsia"/>
                <w:b/>
                <w:bCs/>
              </w:rPr>
              <w:t>产能匹配性分析：</w:t>
            </w:r>
          </w:p>
          <w:p w14:paraId="69D7B045">
            <w:pPr>
              <w:ind w:firstLine="480"/>
            </w:pPr>
            <w:r>
              <w:rPr>
                <w:rFonts w:hint="eastAsia"/>
              </w:rPr>
              <w:t>本项目实行8小时工作制，年工作日200天，根据企业配套的主要生产设备的单机产能及生产时间，核算产能匹配性，本项目主要设备产能具体见下表。</w:t>
            </w:r>
          </w:p>
          <w:p w14:paraId="09E75F2B">
            <w:pPr>
              <w:pStyle w:val="18"/>
            </w:pPr>
            <w:r>
              <w:rPr>
                <w:rFonts w:hint="eastAsia"/>
              </w:rPr>
              <w:t>表2-5  主要设备产能分析表</w:t>
            </w:r>
          </w:p>
          <w:tbl>
            <w:tblPr>
              <w:tblStyle w:val="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6"/>
              <w:gridCol w:w="660"/>
              <w:gridCol w:w="1800"/>
              <w:gridCol w:w="1581"/>
              <w:gridCol w:w="2220"/>
            </w:tblGrid>
            <w:tr w14:paraId="6A9E9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pct"/>
                </w:tcPr>
                <w:p w14:paraId="69228F00">
                  <w:pPr>
                    <w:pStyle w:val="15"/>
                  </w:pPr>
                  <w:r>
                    <w:rPr>
                      <w:rFonts w:hint="eastAsia"/>
                    </w:rPr>
                    <w:t>生产设备</w:t>
                  </w:r>
                </w:p>
              </w:tc>
              <w:tc>
                <w:tcPr>
                  <w:tcW w:w="421" w:type="pct"/>
                </w:tcPr>
                <w:p w14:paraId="31613368">
                  <w:pPr>
                    <w:pStyle w:val="15"/>
                  </w:pPr>
                  <w:r>
                    <w:rPr>
                      <w:rFonts w:hint="eastAsia"/>
                    </w:rPr>
                    <w:t>数量</w:t>
                  </w:r>
                </w:p>
              </w:tc>
              <w:tc>
                <w:tcPr>
                  <w:tcW w:w="1148" w:type="pct"/>
                </w:tcPr>
                <w:p w14:paraId="15A06712">
                  <w:pPr>
                    <w:pStyle w:val="15"/>
                  </w:pPr>
                  <w:r>
                    <w:rPr>
                      <w:rFonts w:hint="eastAsia"/>
                    </w:rPr>
                    <w:t>单线产能（套/天）</w:t>
                  </w:r>
                </w:p>
              </w:tc>
              <w:tc>
                <w:tcPr>
                  <w:tcW w:w="1008" w:type="pct"/>
                </w:tcPr>
                <w:p w14:paraId="43F260A3">
                  <w:pPr>
                    <w:pStyle w:val="15"/>
                  </w:pPr>
                  <w:r>
                    <w:rPr>
                      <w:rFonts w:hint="eastAsia"/>
                    </w:rPr>
                    <w:t>总产能（套/年）</w:t>
                  </w:r>
                </w:p>
              </w:tc>
              <w:tc>
                <w:tcPr>
                  <w:tcW w:w="1416" w:type="pct"/>
                </w:tcPr>
                <w:p w14:paraId="75480DD3">
                  <w:pPr>
                    <w:pStyle w:val="15"/>
                  </w:pPr>
                  <w:r>
                    <w:rPr>
                      <w:rFonts w:hint="eastAsia"/>
                    </w:rPr>
                    <w:t>本项目产能（万套/年）</w:t>
                  </w:r>
                </w:p>
              </w:tc>
            </w:tr>
            <w:tr w14:paraId="1F55E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pct"/>
                  <w:vAlign w:val="center"/>
                </w:tcPr>
                <w:p w14:paraId="6CFBE042">
                  <w:pPr>
                    <w:pStyle w:val="15"/>
                  </w:pPr>
                  <w:r>
                    <w:rPr>
                      <w:rFonts w:hint="eastAsia"/>
                    </w:rPr>
                    <w:t>洗碗生产线</w:t>
                  </w:r>
                </w:p>
              </w:tc>
              <w:tc>
                <w:tcPr>
                  <w:tcW w:w="421" w:type="pct"/>
                  <w:vAlign w:val="center"/>
                </w:tcPr>
                <w:p w14:paraId="55E06E77">
                  <w:pPr>
                    <w:pStyle w:val="15"/>
                  </w:pPr>
                  <w:r>
                    <w:rPr>
                      <w:rFonts w:hint="eastAsia"/>
                    </w:rPr>
                    <w:t>1套</w:t>
                  </w:r>
                </w:p>
              </w:tc>
              <w:tc>
                <w:tcPr>
                  <w:tcW w:w="1148" w:type="pct"/>
                </w:tcPr>
                <w:p w14:paraId="001E297C">
                  <w:pPr>
                    <w:pStyle w:val="15"/>
                  </w:pPr>
                  <w:r>
                    <w:rPr>
                      <w:rFonts w:hint="eastAsia"/>
                    </w:rPr>
                    <w:t>20000</w:t>
                  </w:r>
                </w:p>
              </w:tc>
              <w:tc>
                <w:tcPr>
                  <w:tcW w:w="1008" w:type="pct"/>
                  <w:vAlign w:val="center"/>
                </w:tcPr>
                <w:p w14:paraId="48B866D8">
                  <w:pPr>
                    <w:pStyle w:val="15"/>
                  </w:pPr>
                  <w:r>
                    <w:rPr>
                      <w:rFonts w:hint="eastAsia"/>
                    </w:rPr>
                    <w:t>4000000</w:t>
                  </w:r>
                </w:p>
              </w:tc>
              <w:tc>
                <w:tcPr>
                  <w:tcW w:w="1416" w:type="pct"/>
                  <w:vMerge w:val="restart"/>
                  <w:vAlign w:val="center"/>
                </w:tcPr>
                <w:p w14:paraId="1AFF1C5F">
                  <w:pPr>
                    <w:pStyle w:val="15"/>
                  </w:pPr>
                  <w:r>
                    <w:rPr>
                      <w:rFonts w:hint="eastAsia"/>
                    </w:rPr>
                    <w:t>300</w:t>
                  </w:r>
                </w:p>
              </w:tc>
            </w:tr>
            <w:tr w14:paraId="4FA09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pct"/>
                  <w:vAlign w:val="center"/>
                </w:tcPr>
                <w:p w14:paraId="253D4707">
                  <w:pPr>
                    <w:pStyle w:val="15"/>
                  </w:pPr>
                  <w:r>
                    <w:rPr>
                      <w:rFonts w:hint="eastAsia"/>
                    </w:rPr>
                    <w:t>洗筷勺生产线</w:t>
                  </w:r>
                </w:p>
              </w:tc>
              <w:tc>
                <w:tcPr>
                  <w:tcW w:w="421" w:type="pct"/>
                  <w:vAlign w:val="center"/>
                </w:tcPr>
                <w:p w14:paraId="1C80D442">
                  <w:pPr>
                    <w:pStyle w:val="15"/>
                  </w:pPr>
                  <w:r>
                    <w:rPr>
                      <w:rFonts w:hint="eastAsia"/>
                    </w:rPr>
                    <w:t>1套</w:t>
                  </w:r>
                </w:p>
              </w:tc>
              <w:tc>
                <w:tcPr>
                  <w:tcW w:w="1148" w:type="pct"/>
                </w:tcPr>
                <w:p w14:paraId="1958E94B">
                  <w:pPr>
                    <w:pStyle w:val="15"/>
                  </w:pPr>
                  <w:r>
                    <w:rPr>
                      <w:rFonts w:hint="eastAsia"/>
                    </w:rPr>
                    <w:t>20000</w:t>
                  </w:r>
                </w:p>
              </w:tc>
              <w:tc>
                <w:tcPr>
                  <w:tcW w:w="1008" w:type="pct"/>
                </w:tcPr>
                <w:p w14:paraId="73533652">
                  <w:pPr>
                    <w:pStyle w:val="15"/>
                  </w:pPr>
                  <w:r>
                    <w:rPr>
                      <w:rFonts w:hint="eastAsia"/>
                    </w:rPr>
                    <w:t>4000000</w:t>
                  </w:r>
                </w:p>
              </w:tc>
              <w:tc>
                <w:tcPr>
                  <w:tcW w:w="1416" w:type="pct"/>
                  <w:vMerge w:val="continue"/>
                </w:tcPr>
                <w:p w14:paraId="44436A0C">
                  <w:pPr>
                    <w:pStyle w:val="15"/>
                  </w:pPr>
                </w:p>
              </w:tc>
            </w:tr>
            <w:tr w14:paraId="72048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pct"/>
                  <w:vAlign w:val="center"/>
                </w:tcPr>
                <w:p w14:paraId="205401DC">
                  <w:pPr>
                    <w:pStyle w:val="15"/>
                  </w:pPr>
                  <w:r>
                    <w:rPr>
                      <w:rFonts w:hint="eastAsia"/>
                    </w:rPr>
                    <w:t>洗箱生产线</w:t>
                  </w:r>
                </w:p>
              </w:tc>
              <w:tc>
                <w:tcPr>
                  <w:tcW w:w="421" w:type="pct"/>
                  <w:vAlign w:val="center"/>
                </w:tcPr>
                <w:p w14:paraId="7D05C778">
                  <w:pPr>
                    <w:pStyle w:val="15"/>
                  </w:pPr>
                  <w:r>
                    <w:rPr>
                      <w:rFonts w:hint="eastAsia"/>
                    </w:rPr>
                    <w:t>1套</w:t>
                  </w:r>
                </w:p>
              </w:tc>
              <w:tc>
                <w:tcPr>
                  <w:tcW w:w="1148" w:type="pct"/>
                </w:tcPr>
                <w:p w14:paraId="5806C04B">
                  <w:pPr>
                    <w:pStyle w:val="15"/>
                  </w:pPr>
                  <w:r>
                    <w:rPr>
                      <w:rFonts w:hint="eastAsia"/>
                    </w:rPr>
                    <w:t>20000</w:t>
                  </w:r>
                </w:p>
              </w:tc>
              <w:tc>
                <w:tcPr>
                  <w:tcW w:w="1008" w:type="pct"/>
                </w:tcPr>
                <w:p w14:paraId="0F991A46">
                  <w:pPr>
                    <w:pStyle w:val="15"/>
                  </w:pPr>
                  <w:r>
                    <w:rPr>
                      <w:rFonts w:hint="eastAsia"/>
                    </w:rPr>
                    <w:t>4000000</w:t>
                  </w:r>
                </w:p>
              </w:tc>
              <w:tc>
                <w:tcPr>
                  <w:tcW w:w="1416" w:type="pct"/>
                  <w:vMerge w:val="continue"/>
                </w:tcPr>
                <w:p w14:paraId="3666B873">
                  <w:pPr>
                    <w:pStyle w:val="15"/>
                  </w:pPr>
                </w:p>
              </w:tc>
            </w:tr>
          </w:tbl>
          <w:p w14:paraId="4C937BA1">
            <w:pPr>
              <w:ind w:firstLine="480"/>
            </w:pPr>
            <w:r>
              <w:rPr>
                <w:rFonts w:hint="eastAsia"/>
              </w:rPr>
              <w:t>本项目生产设备能满足设计生产规模年清洗消毒餐具300万套的生产需求。</w:t>
            </w:r>
          </w:p>
          <w:p w14:paraId="38E6B2BD">
            <w:pPr>
              <w:pStyle w:val="16"/>
              <w:ind w:firstLine="482"/>
            </w:pPr>
            <w:r>
              <w:rPr>
                <w:rFonts w:hint="eastAsia"/>
              </w:rPr>
              <w:t>6、劳动定员及工作制度</w:t>
            </w:r>
          </w:p>
          <w:p w14:paraId="5A9231F1">
            <w:pPr>
              <w:pStyle w:val="17"/>
              <w:ind w:firstLine="480"/>
            </w:pPr>
            <w:r>
              <w:rPr>
                <w:rFonts w:hint="eastAsia"/>
              </w:rPr>
              <w:t>本项目劳动定员15人，生产采用一班工作制，每天工作8个小时，夜间不进行生产，工作200天，均不在厂区食宿。</w:t>
            </w:r>
          </w:p>
          <w:p w14:paraId="754FB51A">
            <w:pPr>
              <w:pStyle w:val="16"/>
              <w:numPr>
                <w:ilvl w:val="0"/>
                <w:numId w:val="2"/>
              </w:numPr>
              <w:ind w:firstLine="482"/>
            </w:pPr>
            <w:r>
              <w:rPr>
                <w:rFonts w:hint="eastAsia"/>
              </w:rPr>
              <w:t>公用工程</w:t>
            </w:r>
          </w:p>
          <w:p w14:paraId="763E4C9D">
            <w:pPr>
              <w:pStyle w:val="17"/>
              <w:ind w:firstLine="480"/>
            </w:pPr>
            <w:r>
              <w:rPr>
                <w:rFonts w:hint="eastAsia"/>
              </w:rPr>
              <w:t>（1）给水</w:t>
            </w:r>
          </w:p>
          <w:p w14:paraId="5E4C8604">
            <w:pPr>
              <w:pStyle w:val="17"/>
              <w:ind w:firstLine="480"/>
            </w:pPr>
            <w:r>
              <w:rPr>
                <w:rFonts w:hint="eastAsia"/>
              </w:rPr>
              <w:t>供水由乡镇供水管网统一供应引入，项目用水包括生产用水（锅炉用水、餐具清洗用水、纯水制备用水和车间地面拖洗用水）和生活用水。</w:t>
            </w:r>
          </w:p>
          <w:p w14:paraId="16E0096F">
            <w:pPr>
              <w:pStyle w:val="17"/>
              <w:ind w:firstLine="480"/>
            </w:pPr>
            <w:r>
              <w:rPr>
                <w:rFonts w:hint="eastAsia"/>
              </w:rPr>
              <w:t>①锅炉用水：经加热后以蒸汽形式为项目生产提供热源；锅炉额定功率为2.</w:t>
            </w:r>
            <w:r>
              <w:rPr>
                <w:rFonts w:hint="eastAsia"/>
                <w:lang w:val="en-US" w:eastAsia="zh-CN"/>
              </w:rPr>
              <w:t>1</w:t>
            </w:r>
            <w:r>
              <w:rPr>
                <w:rFonts w:hint="eastAsia"/>
              </w:rPr>
              <w:t>t/h，日工作8h，蒸汽直接进入烘干工序，经烘干工序后的蒸汽回流至冷凝罐，蒸汽经冷凝后变为液态水，冷凝水重新进入锅炉中循环使用，不外排，锅炉用水量为</w:t>
            </w:r>
            <w:r>
              <w:rPr>
                <w:rFonts w:hint="eastAsia"/>
                <w:lang w:val="en-US" w:eastAsia="zh-CN"/>
              </w:rPr>
              <w:t>16.8</w:t>
            </w:r>
            <w:r>
              <w:rPr>
                <w:rFonts w:hint="eastAsia"/>
              </w:rPr>
              <w:t>t/d（</w:t>
            </w:r>
            <w:r>
              <w:rPr>
                <w:rFonts w:hint="eastAsia"/>
                <w:lang w:val="en-US" w:eastAsia="zh-CN"/>
              </w:rPr>
              <w:t>3360</w:t>
            </w:r>
            <w:r>
              <w:rPr>
                <w:rFonts w:hint="eastAsia"/>
              </w:rPr>
              <w:t>t/a），蒸发损耗按5%计算，锅炉补水量为</w:t>
            </w:r>
            <w:r>
              <w:rPr>
                <w:rFonts w:hint="eastAsia"/>
                <w:lang w:val="en-US" w:eastAsia="zh-CN"/>
              </w:rPr>
              <w:t>0.84</w:t>
            </w:r>
            <w:r>
              <w:rPr>
                <w:rFonts w:hint="eastAsia"/>
              </w:rPr>
              <w:t>t/d（</w:t>
            </w:r>
            <w:r>
              <w:rPr>
                <w:rFonts w:hint="eastAsia"/>
                <w:lang w:val="en-US" w:eastAsia="zh-CN"/>
              </w:rPr>
              <w:t>168</w:t>
            </w:r>
            <w:r>
              <w:rPr>
                <w:rFonts w:hint="eastAsia"/>
              </w:rPr>
              <w:t>t/a）。</w:t>
            </w:r>
          </w:p>
          <w:p w14:paraId="51DDCDBC">
            <w:pPr>
              <w:pStyle w:val="17"/>
              <w:ind w:firstLine="480"/>
            </w:pPr>
            <w:r>
              <w:rPr>
                <w:rFonts w:hint="eastAsia"/>
              </w:rPr>
              <w:t>②餐具清洗用水：本项目餐具清洗使用纯水清洗，类比《衡阳雁洁餐具消毒服务有限公司年清洗消毒餐具300万套建设项目环境影响报告表》（本项目与其生产工艺、产能相似）并结合企业提供资料，本项目用水定额按0.8L/套计，则清洗用水量合计2.4m</w:t>
            </w:r>
            <w:r>
              <w:rPr>
                <w:rFonts w:hint="eastAsia"/>
                <w:vertAlign w:val="superscript"/>
              </w:rPr>
              <w:t>3</w:t>
            </w:r>
            <w:r>
              <w:rPr>
                <w:rFonts w:hint="eastAsia"/>
              </w:rPr>
              <w:t>/d （480m</w:t>
            </w:r>
            <w:r>
              <w:rPr>
                <w:rFonts w:hint="eastAsia"/>
                <w:vertAlign w:val="superscript"/>
              </w:rPr>
              <w:t>3</w:t>
            </w:r>
            <w:r>
              <w:rPr>
                <w:rFonts w:hint="eastAsia"/>
              </w:rPr>
              <w:t>/a）。</w:t>
            </w:r>
          </w:p>
          <w:p w14:paraId="34EA2BD7">
            <w:pPr>
              <w:pStyle w:val="17"/>
              <w:ind w:firstLine="480"/>
            </w:pPr>
            <w:r>
              <w:rPr>
                <w:rFonts w:hint="eastAsia"/>
              </w:rPr>
              <w:t>③车间地面拖洗用水：工作结束后需对地面进行拖洗，本项且生产车间面积为623.22m</w:t>
            </w:r>
            <w:r>
              <w:rPr>
                <w:rFonts w:hint="eastAsia"/>
                <w:vertAlign w:val="superscript"/>
              </w:rPr>
              <w:t>2</w:t>
            </w:r>
            <w:r>
              <w:rPr>
                <w:rFonts w:hint="eastAsia"/>
              </w:rPr>
              <w:t>，地面拖洗用水取2L/m</w:t>
            </w:r>
            <w:r>
              <w:rPr>
                <w:rFonts w:hint="eastAsia"/>
                <w:vertAlign w:val="superscript"/>
              </w:rPr>
              <w:t>2</w:t>
            </w:r>
            <w:r>
              <w:rPr>
                <w:rFonts w:hint="eastAsia"/>
              </w:rPr>
              <w:t>，清洗频率为1次/天，用水量约为1.25m</w:t>
            </w:r>
            <w:r>
              <w:rPr>
                <w:rFonts w:hint="eastAsia"/>
                <w:vertAlign w:val="superscript"/>
              </w:rPr>
              <w:t>3</w:t>
            </w:r>
            <w:r>
              <w:rPr>
                <w:rFonts w:hint="eastAsia"/>
              </w:rPr>
              <w:t>/d（250m</w:t>
            </w:r>
            <w:r>
              <w:rPr>
                <w:rFonts w:hint="eastAsia"/>
                <w:vertAlign w:val="superscript"/>
              </w:rPr>
              <w:t>3</w:t>
            </w:r>
            <w:r>
              <w:rPr>
                <w:rFonts w:hint="eastAsia"/>
              </w:rPr>
              <w:t>/a）。</w:t>
            </w:r>
          </w:p>
          <w:p w14:paraId="54075AC8">
            <w:pPr>
              <w:pStyle w:val="17"/>
              <w:ind w:firstLine="480"/>
            </w:pPr>
            <w:r>
              <w:rPr>
                <w:rFonts w:hint="eastAsia"/>
              </w:rPr>
              <w:t>④纯水制备用水：本项目需使用纯水总量730t/a（用于餐具清洗和地面拖洗），根据建设单位提供资料，自来水制备纯化水的合格率为60%，则纯水制备用水为1216.67t/a。</w:t>
            </w:r>
          </w:p>
          <w:p w14:paraId="562C3719">
            <w:pPr>
              <w:pStyle w:val="17"/>
              <w:ind w:firstLine="480"/>
            </w:pPr>
            <w:r>
              <w:rPr>
                <w:rFonts w:hint="eastAsia"/>
              </w:rPr>
              <w:t>⑤生活用水：根据《湖南省地方标准 用水定额》（DB43/T388-2020）中相关标准，不在厂区住宿人员生活用水平均按50L/人·天计，本项目劳动定员为15人，均不在厂区住宿，则本项目生活用水量为0.75m</w:t>
            </w:r>
            <w:r>
              <w:rPr>
                <w:rFonts w:hint="eastAsia"/>
                <w:vertAlign w:val="superscript"/>
              </w:rPr>
              <w:t>3</w:t>
            </w:r>
            <w:r>
              <w:rPr>
                <w:rFonts w:hint="eastAsia"/>
              </w:rPr>
              <w:t>/d（150m</w:t>
            </w:r>
            <w:r>
              <w:rPr>
                <w:rFonts w:hint="eastAsia"/>
                <w:vertAlign w:val="superscript"/>
              </w:rPr>
              <w:t>3</w:t>
            </w:r>
            <w:r>
              <w:rPr>
                <w:rFonts w:hint="eastAsia"/>
              </w:rPr>
              <w:t>/a）。</w:t>
            </w:r>
          </w:p>
          <w:p w14:paraId="09142A22">
            <w:pPr>
              <w:pStyle w:val="17"/>
              <w:ind w:firstLine="480"/>
            </w:pPr>
            <w:r>
              <w:rPr>
                <w:rFonts w:hint="eastAsia"/>
              </w:rPr>
              <w:t>（2）排水工程</w:t>
            </w:r>
          </w:p>
          <w:p w14:paraId="2E2F9EF2">
            <w:pPr>
              <w:pStyle w:val="17"/>
              <w:ind w:firstLine="480"/>
            </w:pPr>
            <w:r>
              <w:rPr>
                <w:rFonts w:hint="eastAsia"/>
              </w:rPr>
              <w:t>①餐具清洗废水：清洗用水量合计2.4m</w:t>
            </w:r>
            <w:r>
              <w:rPr>
                <w:rFonts w:hint="eastAsia"/>
                <w:vertAlign w:val="superscript"/>
              </w:rPr>
              <w:t>3</w:t>
            </w:r>
            <w:r>
              <w:rPr>
                <w:rFonts w:hint="eastAsia"/>
              </w:rPr>
              <w:t>/d （480m</w:t>
            </w:r>
            <w:r>
              <w:rPr>
                <w:rFonts w:hint="eastAsia"/>
                <w:vertAlign w:val="superscript"/>
              </w:rPr>
              <w:t>3</w:t>
            </w:r>
            <w:r>
              <w:rPr>
                <w:rFonts w:hint="eastAsia"/>
              </w:rPr>
              <w:t>/a），产污系数取0.8，则清洗废水产生量为1.92m</w:t>
            </w:r>
            <w:r>
              <w:rPr>
                <w:rFonts w:hint="eastAsia"/>
                <w:vertAlign w:val="superscript"/>
              </w:rPr>
              <w:t>3</w:t>
            </w:r>
            <w:r>
              <w:rPr>
                <w:rFonts w:hint="eastAsia"/>
              </w:rPr>
              <w:t>/d（384m</w:t>
            </w:r>
            <w:r>
              <w:rPr>
                <w:rFonts w:hint="eastAsia"/>
                <w:vertAlign w:val="superscript"/>
              </w:rPr>
              <w:t>3</w:t>
            </w:r>
            <w:r>
              <w:rPr>
                <w:rFonts w:hint="eastAsia"/>
              </w:rPr>
              <w:t>/a），经隔油处理后排入沉淀池后通过灌装运输车运至岳阳高新科技产业园区污水处理厂处理。</w:t>
            </w:r>
          </w:p>
          <w:p w14:paraId="6F99EC0A">
            <w:pPr>
              <w:pStyle w:val="17"/>
              <w:ind w:firstLine="480"/>
            </w:pPr>
            <w:r>
              <w:rPr>
                <w:rFonts w:hint="eastAsia"/>
              </w:rPr>
              <w:t>②地面拖洗废水：地面拖洗用水量约为1.25m</w:t>
            </w:r>
            <w:r>
              <w:rPr>
                <w:rFonts w:hint="eastAsia"/>
                <w:vertAlign w:val="superscript"/>
              </w:rPr>
              <w:t>3</w:t>
            </w:r>
            <w:r>
              <w:rPr>
                <w:rFonts w:hint="eastAsia"/>
              </w:rPr>
              <w:t>/d（250m</w:t>
            </w:r>
            <w:r>
              <w:rPr>
                <w:rFonts w:hint="eastAsia"/>
                <w:vertAlign w:val="superscript"/>
              </w:rPr>
              <w:t>3</w:t>
            </w:r>
            <w:r>
              <w:rPr>
                <w:rFonts w:hint="eastAsia"/>
              </w:rPr>
              <w:t>/a），产污系数取0.8，则废水产生量为1m</w:t>
            </w:r>
            <w:r>
              <w:rPr>
                <w:rFonts w:hint="eastAsia"/>
                <w:vertAlign w:val="superscript"/>
              </w:rPr>
              <w:t>3</w:t>
            </w:r>
            <w:r>
              <w:rPr>
                <w:rFonts w:hint="eastAsia"/>
              </w:rPr>
              <w:t>/d（200m</w:t>
            </w:r>
            <w:r>
              <w:rPr>
                <w:rFonts w:hint="eastAsia"/>
                <w:vertAlign w:val="superscript"/>
              </w:rPr>
              <w:t>3</w:t>
            </w:r>
            <w:r>
              <w:rPr>
                <w:rFonts w:hint="eastAsia"/>
              </w:rPr>
              <w:t>/a），经隔油处理后排入沉淀池后通过灌装运输车运至岳阳高新科技产业园区污水处理厂处理。</w:t>
            </w:r>
          </w:p>
          <w:p w14:paraId="5F683466">
            <w:pPr>
              <w:pStyle w:val="17"/>
              <w:ind w:firstLine="480"/>
            </w:pPr>
            <w:r>
              <w:rPr>
                <w:rFonts w:hint="eastAsia"/>
              </w:rPr>
              <w:t>③纯水制备废水：纯水制备废水486.67t/a，经沉淀池</w:t>
            </w:r>
            <w:r>
              <w:rPr>
                <w:rFonts w:hint="eastAsia"/>
                <w:lang w:val="en-US" w:eastAsia="zh-CN"/>
              </w:rPr>
              <w:t>收集</w:t>
            </w:r>
            <w:r>
              <w:rPr>
                <w:rFonts w:hint="eastAsia"/>
              </w:rPr>
              <w:t>后通过灌装运输车运至岳阳高新科技产业园区污水处理厂处理。</w:t>
            </w:r>
          </w:p>
          <w:p w14:paraId="0173331A">
            <w:pPr>
              <w:pStyle w:val="17"/>
              <w:ind w:firstLine="480"/>
            </w:pPr>
            <w:r>
              <w:rPr>
                <w:rFonts w:hint="eastAsia"/>
              </w:rPr>
              <w:t>④生活污水：生活用水量为0.75m</w:t>
            </w:r>
            <w:r>
              <w:rPr>
                <w:rFonts w:hint="eastAsia"/>
                <w:vertAlign w:val="superscript"/>
              </w:rPr>
              <w:t>3</w:t>
            </w:r>
            <w:r>
              <w:rPr>
                <w:rFonts w:hint="eastAsia"/>
              </w:rPr>
              <w:t>/d（150m</w:t>
            </w:r>
            <w:r>
              <w:rPr>
                <w:rFonts w:hint="eastAsia"/>
                <w:vertAlign w:val="superscript"/>
              </w:rPr>
              <w:t>3</w:t>
            </w:r>
            <w:r>
              <w:rPr>
                <w:rFonts w:hint="eastAsia"/>
              </w:rPr>
              <w:t>/a），排污系数的80%计，则生活污水产生量为0.6m</w:t>
            </w:r>
            <w:r>
              <w:rPr>
                <w:rFonts w:hint="eastAsia"/>
                <w:vertAlign w:val="superscript"/>
              </w:rPr>
              <w:t>3</w:t>
            </w:r>
            <w:r>
              <w:rPr>
                <w:rFonts w:hint="eastAsia"/>
              </w:rPr>
              <w:t>/d（120m</w:t>
            </w:r>
            <w:r>
              <w:rPr>
                <w:rFonts w:hint="eastAsia"/>
                <w:vertAlign w:val="superscript"/>
              </w:rPr>
              <w:t>3</w:t>
            </w:r>
            <w:r>
              <w:rPr>
                <w:rFonts w:hint="eastAsia"/>
              </w:rPr>
              <w:t>/a），经化粪池处理后用于周边农田施肥。</w:t>
            </w:r>
          </w:p>
          <w:p w14:paraId="507B3F16">
            <w:pPr>
              <w:pStyle w:val="17"/>
              <w:ind w:firstLine="480"/>
            </w:pPr>
            <w:r>
              <w:rPr>
                <w:rFonts w:hint="eastAsia"/>
              </w:rPr>
              <w:t>项目用水、排水核算详见下表。</w:t>
            </w:r>
          </w:p>
          <w:p w14:paraId="41A641D5">
            <w:pPr>
              <w:pStyle w:val="18"/>
            </w:pPr>
            <w:r>
              <w:rPr>
                <w:rFonts w:hint="eastAsia"/>
              </w:rPr>
              <w:t>表2-6  项目用水、排水核算表</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4"/>
              <w:gridCol w:w="1299"/>
              <w:gridCol w:w="1115"/>
              <w:gridCol w:w="852"/>
              <w:gridCol w:w="1128"/>
              <w:gridCol w:w="811"/>
              <w:gridCol w:w="1084"/>
              <w:gridCol w:w="1062"/>
            </w:tblGrid>
            <w:tr w14:paraId="0562D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309" w:type="pct"/>
                  <w:vAlign w:val="center"/>
                </w:tcPr>
                <w:p w14:paraId="7377ED09">
                  <w:pPr>
                    <w:pStyle w:val="15"/>
                  </w:pPr>
                  <w:r>
                    <w:rPr>
                      <w:rFonts w:hint="eastAsia"/>
                    </w:rPr>
                    <w:t>序号</w:t>
                  </w:r>
                </w:p>
              </w:tc>
              <w:tc>
                <w:tcPr>
                  <w:tcW w:w="829" w:type="pct"/>
                  <w:vAlign w:val="center"/>
                </w:tcPr>
                <w:p w14:paraId="624D3F55">
                  <w:pPr>
                    <w:pStyle w:val="15"/>
                  </w:pPr>
                  <w:r>
                    <w:rPr>
                      <w:rFonts w:hint="eastAsia"/>
                    </w:rPr>
                    <w:t>用水项目</w:t>
                  </w:r>
                </w:p>
              </w:tc>
              <w:tc>
                <w:tcPr>
                  <w:tcW w:w="711" w:type="pct"/>
                  <w:vAlign w:val="center"/>
                </w:tcPr>
                <w:p w14:paraId="44D0ED34">
                  <w:pPr>
                    <w:pStyle w:val="15"/>
                  </w:pPr>
                  <w:r>
                    <w:rPr>
                      <w:rFonts w:hint="eastAsia"/>
                    </w:rPr>
                    <w:t>用水标准</w:t>
                  </w:r>
                </w:p>
              </w:tc>
              <w:tc>
                <w:tcPr>
                  <w:tcW w:w="543" w:type="pct"/>
                  <w:vAlign w:val="center"/>
                </w:tcPr>
                <w:p w14:paraId="42E1EE26">
                  <w:pPr>
                    <w:pStyle w:val="15"/>
                  </w:pPr>
                  <w:r>
                    <w:rPr>
                      <w:rFonts w:hint="eastAsia"/>
                    </w:rPr>
                    <w:t>用水规模</w:t>
                  </w:r>
                </w:p>
              </w:tc>
              <w:tc>
                <w:tcPr>
                  <w:tcW w:w="719" w:type="pct"/>
                  <w:vAlign w:val="center"/>
                </w:tcPr>
                <w:p w14:paraId="57FD40FA">
                  <w:pPr>
                    <w:pStyle w:val="15"/>
                  </w:pPr>
                  <w:r>
                    <w:rPr>
                      <w:rFonts w:hint="eastAsia"/>
                    </w:rPr>
                    <w:t>用水量（</w:t>
                  </w:r>
                  <w:r>
                    <w:rPr>
                      <w:rFonts w:hint="eastAsia"/>
                      <w:szCs w:val="21"/>
                    </w:rPr>
                    <w:t>t/a</w:t>
                  </w:r>
                  <w:r>
                    <w:rPr>
                      <w:rFonts w:hint="eastAsia"/>
                    </w:rPr>
                    <w:t>）</w:t>
                  </w:r>
                </w:p>
              </w:tc>
              <w:tc>
                <w:tcPr>
                  <w:tcW w:w="517" w:type="pct"/>
                  <w:vAlign w:val="center"/>
                </w:tcPr>
                <w:p w14:paraId="26336ECA">
                  <w:pPr>
                    <w:pStyle w:val="15"/>
                  </w:pPr>
                  <w:r>
                    <w:rPr>
                      <w:rFonts w:hint="eastAsia"/>
                    </w:rPr>
                    <w:t>产污系数</w:t>
                  </w:r>
                </w:p>
              </w:tc>
              <w:tc>
                <w:tcPr>
                  <w:tcW w:w="691" w:type="pct"/>
                  <w:vAlign w:val="center"/>
                </w:tcPr>
                <w:p w14:paraId="588BBD6C">
                  <w:pPr>
                    <w:pStyle w:val="15"/>
                  </w:pPr>
                  <w:r>
                    <w:rPr>
                      <w:rFonts w:hint="eastAsia"/>
                    </w:rPr>
                    <w:t>损耗量（</w:t>
                  </w:r>
                  <w:r>
                    <w:rPr>
                      <w:rFonts w:hint="eastAsia"/>
                      <w:szCs w:val="21"/>
                    </w:rPr>
                    <w:t>t/a</w:t>
                  </w:r>
                  <w:r>
                    <w:rPr>
                      <w:rFonts w:hint="eastAsia"/>
                    </w:rPr>
                    <w:t>）</w:t>
                  </w:r>
                </w:p>
              </w:tc>
              <w:tc>
                <w:tcPr>
                  <w:tcW w:w="677" w:type="pct"/>
                  <w:vAlign w:val="center"/>
                </w:tcPr>
                <w:p w14:paraId="4125BA88">
                  <w:pPr>
                    <w:pStyle w:val="15"/>
                  </w:pPr>
                  <w:r>
                    <w:rPr>
                      <w:rFonts w:hint="eastAsia"/>
                    </w:rPr>
                    <w:t>排放量（</w:t>
                  </w:r>
                  <w:r>
                    <w:rPr>
                      <w:rFonts w:hint="eastAsia"/>
                      <w:szCs w:val="21"/>
                    </w:rPr>
                    <w:t>t/a</w:t>
                  </w:r>
                  <w:r>
                    <w:rPr>
                      <w:rFonts w:hint="eastAsia"/>
                    </w:rPr>
                    <w:t>）</w:t>
                  </w:r>
                </w:p>
              </w:tc>
            </w:tr>
            <w:tr w14:paraId="629E8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Align w:val="center"/>
                </w:tcPr>
                <w:p w14:paraId="6623DD94">
                  <w:pPr>
                    <w:pStyle w:val="15"/>
                  </w:pPr>
                  <w:r>
                    <w:rPr>
                      <w:rFonts w:hint="eastAsia"/>
                    </w:rPr>
                    <w:t>1</w:t>
                  </w:r>
                </w:p>
              </w:tc>
              <w:tc>
                <w:tcPr>
                  <w:tcW w:w="829" w:type="pct"/>
                  <w:vAlign w:val="center"/>
                </w:tcPr>
                <w:p w14:paraId="5C3BFA3A">
                  <w:pPr>
                    <w:pStyle w:val="15"/>
                  </w:pPr>
                  <w:r>
                    <w:rPr>
                      <w:rFonts w:hint="eastAsia"/>
                    </w:rPr>
                    <w:t>锅炉用水</w:t>
                  </w:r>
                </w:p>
              </w:tc>
              <w:tc>
                <w:tcPr>
                  <w:tcW w:w="711" w:type="pct"/>
                  <w:vAlign w:val="center"/>
                </w:tcPr>
                <w:p w14:paraId="32439A9A">
                  <w:pPr>
                    <w:pStyle w:val="15"/>
                  </w:pPr>
                  <w:r>
                    <w:rPr>
                      <w:rFonts w:hint="eastAsia"/>
                    </w:rPr>
                    <w:t>/</w:t>
                  </w:r>
                </w:p>
              </w:tc>
              <w:tc>
                <w:tcPr>
                  <w:tcW w:w="543" w:type="pct"/>
                  <w:vAlign w:val="center"/>
                </w:tcPr>
                <w:p w14:paraId="710B1762">
                  <w:pPr>
                    <w:pStyle w:val="15"/>
                  </w:pPr>
                  <w:r>
                    <w:rPr>
                      <w:rFonts w:hint="eastAsia"/>
                    </w:rPr>
                    <w:t>/</w:t>
                  </w:r>
                </w:p>
              </w:tc>
              <w:tc>
                <w:tcPr>
                  <w:tcW w:w="719" w:type="pct"/>
                  <w:vAlign w:val="center"/>
                </w:tcPr>
                <w:p w14:paraId="30CAAFAC">
                  <w:pPr>
                    <w:pStyle w:val="15"/>
                    <w:rPr>
                      <w:rFonts w:hint="default" w:eastAsia="宋体"/>
                      <w:lang w:val="en-US" w:eastAsia="zh-CN"/>
                    </w:rPr>
                  </w:pPr>
                  <w:r>
                    <w:rPr>
                      <w:rFonts w:hint="eastAsia"/>
                      <w:lang w:val="en-US" w:eastAsia="zh-CN"/>
                    </w:rPr>
                    <w:t>3360</w:t>
                  </w:r>
                </w:p>
              </w:tc>
              <w:tc>
                <w:tcPr>
                  <w:tcW w:w="517" w:type="pct"/>
                  <w:vAlign w:val="center"/>
                </w:tcPr>
                <w:p w14:paraId="477FB8A9">
                  <w:pPr>
                    <w:pStyle w:val="15"/>
                  </w:pPr>
                  <w:r>
                    <w:rPr>
                      <w:rFonts w:hint="eastAsia"/>
                    </w:rPr>
                    <w:t>/</w:t>
                  </w:r>
                </w:p>
              </w:tc>
              <w:tc>
                <w:tcPr>
                  <w:tcW w:w="691" w:type="pct"/>
                  <w:vAlign w:val="center"/>
                </w:tcPr>
                <w:p w14:paraId="21001956">
                  <w:pPr>
                    <w:pStyle w:val="15"/>
                    <w:rPr>
                      <w:rFonts w:hint="default" w:eastAsia="宋体"/>
                      <w:lang w:val="en-US" w:eastAsia="zh-CN"/>
                    </w:rPr>
                  </w:pPr>
                  <w:r>
                    <w:rPr>
                      <w:rFonts w:hint="eastAsia"/>
                      <w:lang w:val="en-US" w:eastAsia="zh-CN"/>
                    </w:rPr>
                    <w:t>168</w:t>
                  </w:r>
                </w:p>
              </w:tc>
              <w:tc>
                <w:tcPr>
                  <w:tcW w:w="677" w:type="pct"/>
                  <w:vAlign w:val="center"/>
                </w:tcPr>
                <w:p w14:paraId="24D3626A">
                  <w:pPr>
                    <w:pStyle w:val="15"/>
                  </w:pPr>
                  <w:r>
                    <w:rPr>
                      <w:rFonts w:hint="eastAsia"/>
                    </w:rPr>
                    <w:t>/</w:t>
                  </w:r>
                </w:p>
              </w:tc>
            </w:tr>
            <w:tr w14:paraId="51932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Align w:val="center"/>
                </w:tcPr>
                <w:p w14:paraId="7054BBA6">
                  <w:pPr>
                    <w:pStyle w:val="15"/>
                  </w:pPr>
                  <w:r>
                    <w:rPr>
                      <w:rFonts w:hint="eastAsia"/>
                    </w:rPr>
                    <w:t>2</w:t>
                  </w:r>
                </w:p>
              </w:tc>
              <w:tc>
                <w:tcPr>
                  <w:tcW w:w="829" w:type="pct"/>
                  <w:vAlign w:val="center"/>
                </w:tcPr>
                <w:p w14:paraId="42767FA5">
                  <w:pPr>
                    <w:pStyle w:val="15"/>
                  </w:pPr>
                  <w:r>
                    <w:rPr>
                      <w:rFonts w:hint="eastAsia"/>
                    </w:rPr>
                    <w:t>纯水制备用水</w:t>
                  </w:r>
                </w:p>
              </w:tc>
              <w:tc>
                <w:tcPr>
                  <w:tcW w:w="711" w:type="pct"/>
                  <w:vAlign w:val="center"/>
                </w:tcPr>
                <w:p w14:paraId="71683BEC">
                  <w:pPr>
                    <w:pStyle w:val="15"/>
                  </w:pPr>
                  <w:r>
                    <w:rPr>
                      <w:rFonts w:hint="eastAsia"/>
                    </w:rPr>
                    <w:t>/</w:t>
                  </w:r>
                </w:p>
              </w:tc>
              <w:tc>
                <w:tcPr>
                  <w:tcW w:w="543" w:type="pct"/>
                  <w:vAlign w:val="center"/>
                </w:tcPr>
                <w:p w14:paraId="2B1BF754">
                  <w:pPr>
                    <w:pStyle w:val="15"/>
                  </w:pPr>
                  <w:r>
                    <w:rPr>
                      <w:rFonts w:hint="eastAsia"/>
                    </w:rPr>
                    <w:t>/</w:t>
                  </w:r>
                </w:p>
              </w:tc>
              <w:tc>
                <w:tcPr>
                  <w:tcW w:w="719" w:type="pct"/>
                  <w:vAlign w:val="center"/>
                </w:tcPr>
                <w:p w14:paraId="303CB09B">
                  <w:pPr>
                    <w:pStyle w:val="15"/>
                  </w:pPr>
                  <w:r>
                    <w:rPr>
                      <w:rFonts w:hint="eastAsia"/>
                    </w:rPr>
                    <w:t>1216.67</w:t>
                  </w:r>
                </w:p>
              </w:tc>
              <w:tc>
                <w:tcPr>
                  <w:tcW w:w="517" w:type="pct"/>
                  <w:vAlign w:val="center"/>
                </w:tcPr>
                <w:p w14:paraId="53C5305E">
                  <w:pPr>
                    <w:pStyle w:val="15"/>
                  </w:pPr>
                  <w:r>
                    <w:rPr>
                      <w:rFonts w:hint="eastAsia"/>
                    </w:rPr>
                    <w:t>/</w:t>
                  </w:r>
                </w:p>
              </w:tc>
              <w:tc>
                <w:tcPr>
                  <w:tcW w:w="691" w:type="pct"/>
                  <w:vAlign w:val="center"/>
                </w:tcPr>
                <w:p w14:paraId="6188BCFD">
                  <w:pPr>
                    <w:pStyle w:val="15"/>
                  </w:pPr>
                  <w:r>
                    <w:rPr>
                      <w:rFonts w:hint="eastAsia"/>
                    </w:rPr>
                    <w:t>/</w:t>
                  </w:r>
                </w:p>
              </w:tc>
              <w:tc>
                <w:tcPr>
                  <w:tcW w:w="677" w:type="pct"/>
                  <w:vAlign w:val="center"/>
                </w:tcPr>
                <w:p w14:paraId="031A8CD0">
                  <w:pPr>
                    <w:pStyle w:val="15"/>
                  </w:pPr>
                  <w:r>
                    <w:rPr>
                      <w:rFonts w:hint="eastAsia"/>
                    </w:rPr>
                    <w:t>486.67</w:t>
                  </w:r>
                </w:p>
              </w:tc>
            </w:tr>
            <w:tr w14:paraId="201CB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Align w:val="center"/>
                </w:tcPr>
                <w:p w14:paraId="04D28704">
                  <w:pPr>
                    <w:pStyle w:val="15"/>
                  </w:pPr>
                  <w:r>
                    <w:rPr>
                      <w:rFonts w:hint="eastAsia"/>
                    </w:rPr>
                    <w:t>3</w:t>
                  </w:r>
                </w:p>
              </w:tc>
              <w:tc>
                <w:tcPr>
                  <w:tcW w:w="829" w:type="pct"/>
                  <w:vAlign w:val="center"/>
                </w:tcPr>
                <w:p w14:paraId="3855F996">
                  <w:pPr>
                    <w:pStyle w:val="15"/>
                  </w:pPr>
                  <w:r>
                    <w:rPr>
                      <w:rFonts w:hint="eastAsia"/>
                    </w:rPr>
                    <w:t>餐具清洗用水</w:t>
                  </w:r>
                </w:p>
              </w:tc>
              <w:tc>
                <w:tcPr>
                  <w:tcW w:w="711" w:type="pct"/>
                  <w:vAlign w:val="center"/>
                </w:tcPr>
                <w:p w14:paraId="60A9EC62">
                  <w:pPr>
                    <w:pStyle w:val="15"/>
                  </w:pPr>
                  <w:r>
                    <w:rPr>
                      <w:rFonts w:hint="eastAsia"/>
                    </w:rPr>
                    <w:t>0.8L/套</w:t>
                  </w:r>
                </w:p>
              </w:tc>
              <w:tc>
                <w:tcPr>
                  <w:tcW w:w="543" w:type="pct"/>
                  <w:vAlign w:val="center"/>
                </w:tcPr>
                <w:p w14:paraId="4A5877FE">
                  <w:pPr>
                    <w:pStyle w:val="15"/>
                  </w:pPr>
                  <w:r>
                    <w:rPr>
                      <w:rFonts w:hint="eastAsia"/>
                    </w:rPr>
                    <w:t>3条</w:t>
                  </w:r>
                </w:p>
              </w:tc>
              <w:tc>
                <w:tcPr>
                  <w:tcW w:w="719" w:type="pct"/>
                  <w:vAlign w:val="center"/>
                </w:tcPr>
                <w:p w14:paraId="30235C99">
                  <w:pPr>
                    <w:pStyle w:val="15"/>
                  </w:pPr>
                  <w:r>
                    <w:rPr>
                      <w:rFonts w:hint="eastAsia"/>
                    </w:rPr>
                    <w:t>480</w:t>
                  </w:r>
                </w:p>
              </w:tc>
              <w:tc>
                <w:tcPr>
                  <w:tcW w:w="517" w:type="pct"/>
                  <w:vAlign w:val="center"/>
                </w:tcPr>
                <w:p w14:paraId="5D8DE2F6">
                  <w:pPr>
                    <w:pStyle w:val="15"/>
                  </w:pPr>
                  <w:r>
                    <w:rPr>
                      <w:rFonts w:hint="eastAsia"/>
                    </w:rPr>
                    <w:t>0.8</w:t>
                  </w:r>
                </w:p>
              </w:tc>
              <w:tc>
                <w:tcPr>
                  <w:tcW w:w="691" w:type="pct"/>
                  <w:vAlign w:val="center"/>
                </w:tcPr>
                <w:p w14:paraId="097D5E3E">
                  <w:pPr>
                    <w:pStyle w:val="15"/>
                  </w:pPr>
                  <w:r>
                    <w:rPr>
                      <w:rFonts w:hint="eastAsia"/>
                    </w:rPr>
                    <w:t>96</w:t>
                  </w:r>
                </w:p>
              </w:tc>
              <w:tc>
                <w:tcPr>
                  <w:tcW w:w="677" w:type="pct"/>
                  <w:vAlign w:val="center"/>
                </w:tcPr>
                <w:p w14:paraId="2D14CC3B">
                  <w:pPr>
                    <w:pStyle w:val="15"/>
                  </w:pPr>
                  <w:r>
                    <w:rPr>
                      <w:rFonts w:hint="eastAsia"/>
                    </w:rPr>
                    <w:t>384</w:t>
                  </w:r>
                </w:p>
              </w:tc>
            </w:tr>
            <w:tr w14:paraId="4950A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Align w:val="center"/>
                </w:tcPr>
                <w:p w14:paraId="12235093">
                  <w:pPr>
                    <w:pStyle w:val="15"/>
                  </w:pPr>
                  <w:r>
                    <w:rPr>
                      <w:rFonts w:hint="eastAsia"/>
                    </w:rPr>
                    <w:t>4</w:t>
                  </w:r>
                </w:p>
              </w:tc>
              <w:tc>
                <w:tcPr>
                  <w:tcW w:w="829" w:type="pct"/>
                  <w:vAlign w:val="center"/>
                </w:tcPr>
                <w:p w14:paraId="2680E007">
                  <w:pPr>
                    <w:pStyle w:val="15"/>
                  </w:pPr>
                  <w:r>
                    <w:rPr>
                      <w:rFonts w:hint="eastAsia"/>
                    </w:rPr>
                    <w:t>地面拖洗用水</w:t>
                  </w:r>
                </w:p>
              </w:tc>
              <w:tc>
                <w:tcPr>
                  <w:tcW w:w="711" w:type="pct"/>
                  <w:vAlign w:val="center"/>
                </w:tcPr>
                <w:p w14:paraId="70DB4B4F">
                  <w:pPr>
                    <w:pStyle w:val="15"/>
                  </w:pPr>
                  <w:r>
                    <w:rPr>
                      <w:rFonts w:hint="eastAsia"/>
                    </w:rPr>
                    <w:t>2L/m</w:t>
                  </w:r>
                  <w:r>
                    <w:rPr>
                      <w:rFonts w:hint="eastAsia"/>
                      <w:vertAlign w:val="superscript"/>
                    </w:rPr>
                    <w:t>2</w:t>
                  </w:r>
                </w:p>
              </w:tc>
              <w:tc>
                <w:tcPr>
                  <w:tcW w:w="543" w:type="pct"/>
                  <w:vAlign w:val="center"/>
                </w:tcPr>
                <w:p w14:paraId="468E73F0">
                  <w:pPr>
                    <w:pStyle w:val="15"/>
                  </w:pPr>
                  <w:r>
                    <w:rPr>
                      <w:rFonts w:hint="eastAsia"/>
                    </w:rPr>
                    <w:t>1天1次</w:t>
                  </w:r>
                </w:p>
              </w:tc>
              <w:tc>
                <w:tcPr>
                  <w:tcW w:w="719" w:type="pct"/>
                  <w:vAlign w:val="center"/>
                </w:tcPr>
                <w:p w14:paraId="28D167E6">
                  <w:pPr>
                    <w:pStyle w:val="15"/>
                  </w:pPr>
                  <w:r>
                    <w:rPr>
                      <w:rFonts w:hint="eastAsia"/>
                    </w:rPr>
                    <w:t>250</w:t>
                  </w:r>
                </w:p>
              </w:tc>
              <w:tc>
                <w:tcPr>
                  <w:tcW w:w="517" w:type="pct"/>
                  <w:vAlign w:val="center"/>
                </w:tcPr>
                <w:p w14:paraId="34A98CA0">
                  <w:pPr>
                    <w:pStyle w:val="15"/>
                  </w:pPr>
                  <w:r>
                    <w:rPr>
                      <w:rFonts w:hint="eastAsia"/>
                    </w:rPr>
                    <w:t>/</w:t>
                  </w:r>
                </w:p>
              </w:tc>
              <w:tc>
                <w:tcPr>
                  <w:tcW w:w="691" w:type="pct"/>
                  <w:vAlign w:val="center"/>
                </w:tcPr>
                <w:p w14:paraId="5F306AA7">
                  <w:pPr>
                    <w:pStyle w:val="15"/>
                  </w:pPr>
                  <w:r>
                    <w:rPr>
                      <w:rFonts w:hint="eastAsia"/>
                    </w:rPr>
                    <w:t>50</w:t>
                  </w:r>
                </w:p>
              </w:tc>
              <w:tc>
                <w:tcPr>
                  <w:tcW w:w="677" w:type="pct"/>
                  <w:vAlign w:val="center"/>
                </w:tcPr>
                <w:p w14:paraId="1A809119">
                  <w:pPr>
                    <w:pStyle w:val="15"/>
                  </w:pPr>
                  <w:r>
                    <w:rPr>
                      <w:rFonts w:hint="eastAsia"/>
                    </w:rPr>
                    <w:t>200</w:t>
                  </w:r>
                </w:p>
              </w:tc>
            </w:tr>
            <w:tr w14:paraId="0D8FD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Align w:val="center"/>
                </w:tcPr>
                <w:p w14:paraId="7C9853D5">
                  <w:pPr>
                    <w:pStyle w:val="15"/>
                  </w:pPr>
                  <w:r>
                    <w:rPr>
                      <w:rFonts w:hint="eastAsia"/>
                    </w:rPr>
                    <w:t>5</w:t>
                  </w:r>
                </w:p>
              </w:tc>
              <w:tc>
                <w:tcPr>
                  <w:tcW w:w="829" w:type="pct"/>
                  <w:vAlign w:val="center"/>
                </w:tcPr>
                <w:p w14:paraId="2E01C1A5">
                  <w:pPr>
                    <w:pStyle w:val="15"/>
                  </w:pPr>
                  <w:r>
                    <w:rPr>
                      <w:rFonts w:hint="eastAsia"/>
                    </w:rPr>
                    <w:t>生活用水</w:t>
                  </w:r>
                </w:p>
              </w:tc>
              <w:tc>
                <w:tcPr>
                  <w:tcW w:w="711" w:type="pct"/>
                  <w:vAlign w:val="center"/>
                </w:tcPr>
                <w:p w14:paraId="10D8AF68">
                  <w:pPr>
                    <w:pStyle w:val="15"/>
                  </w:pPr>
                  <w:r>
                    <w:rPr>
                      <w:rFonts w:hint="eastAsia"/>
                    </w:rPr>
                    <w:t>0.75m</w:t>
                  </w:r>
                  <w:r>
                    <w:rPr>
                      <w:rFonts w:hint="eastAsia"/>
                      <w:vertAlign w:val="superscript"/>
                    </w:rPr>
                    <w:t>3</w:t>
                  </w:r>
                  <w:r>
                    <w:rPr>
                      <w:rFonts w:hint="eastAsia"/>
                    </w:rPr>
                    <w:t>/d</w:t>
                  </w:r>
                </w:p>
              </w:tc>
              <w:tc>
                <w:tcPr>
                  <w:tcW w:w="543" w:type="pct"/>
                  <w:vAlign w:val="center"/>
                </w:tcPr>
                <w:p w14:paraId="7A5A64F2">
                  <w:pPr>
                    <w:pStyle w:val="15"/>
                  </w:pPr>
                  <w:r>
                    <w:rPr>
                      <w:rFonts w:hint="eastAsia"/>
                    </w:rPr>
                    <w:t>200天</w:t>
                  </w:r>
                </w:p>
              </w:tc>
              <w:tc>
                <w:tcPr>
                  <w:tcW w:w="719" w:type="pct"/>
                  <w:vAlign w:val="center"/>
                </w:tcPr>
                <w:p w14:paraId="1207FD20">
                  <w:pPr>
                    <w:pStyle w:val="15"/>
                  </w:pPr>
                  <w:r>
                    <w:rPr>
                      <w:rFonts w:hint="eastAsia"/>
                    </w:rPr>
                    <w:t>150</w:t>
                  </w:r>
                </w:p>
              </w:tc>
              <w:tc>
                <w:tcPr>
                  <w:tcW w:w="517" w:type="pct"/>
                  <w:vAlign w:val="center"/>
                </w:tcPr>
                <w:p w14:paraId="1F517905">
                  <w:pPr>
                    <w:pStyle w:val="15"/>
                  </w:pPr>
                  <w:r>
                    <w:rPr>
                      <w:rFonts w:hint="eastAsia"/>
                    </w:rPr>
                    <w:t>0.8</w:t>
                  </w:r>
                </w:p>
              </w:tc>
              <w:tc>
                <w:tcPr>
                  <w:tcW w:w="691" w:type="pct"/>
                  <w:vAlign w:val="center"/>
                </w:tcPr>
                <w:p w14:paraId="0E67BA92">
                  <w:pPr>
                    <w:pStyle w:val="15"/>
                  </w:pPr>
                  <w:r>
                    <w:rPr>
                      <w:rFonts w:hint="eastAsia"/>
                    </w:rPr>
                    <w:t>30</w:t>
                  </w:r>
                </w:p>
              </w:tc>
              <w:tc>
                <w:tcPr>
                  <w:tcW w:w="677" w:type="pct"/>
                  <w:vAlign w:val="center"/>
                </w:tcPr>
                <w:p w14:paraId="44C85915">
                  <w:pPr>
                    <w:pStyle w:val="15"/>
                  </w:pPr>
                  <w:r>
                    <w:rPr>
                      <w:rFonts w:hint="eastAsia"/>
                    </w:rPr>
                    <w:t>120</w:t>
                  </w:r>
                </w:p>
              </w:tc>
            </w:tr>
          </w:tbl>
          <w:p w14:paraId="3B55F8F3">
            <w:pPr>
              <w:pStyle w:val="17"/>
              <w:ind w:firstLine="480"/>
            </w:pPr>
            <w:r>
              <w:rPr>
                <w:rFonts w:hint="eastAsia"/>
              </w:rPr>
              <w:t>项目水平衡图见图2-1。</w:t>
            </w:r>
          </w:p>
          <w:p w14:paraId="64A81904">
            <w:pPr>
              <w:pStyle w:val="17"/>
              <w:ind w:firstLine="0" w:firstLineChars="0"/>
              <w:jc w:val="center"/>
            </w:pPr>
            <w:r>
              <w:rPr>
                <w:rFonts w:hint="eastAsia"/>
              </w:rPr>
              <w:object>
                <v:shape id="_x0000_i1025" o:spt="75" type="#_x0000_t75" style="height:185.3pt;width:361.5pt;" o:ole="t" filled="f" o:preferrelative="t" stroked="f" coordsize="21600,21600">
                  <v:path/>
                  <v:fill on="f" focussize="0,0"/>
                  <v:stroke on="f"/>
                  <v:imagedata r:id="rId15" o:title=""/>
                  <o:lock v:ext="edit" aspectratio="t"/>
                  <w10:wrap type="none"/>
                  <w10:anchorlock/>
                </v:shape>
                <o:OLEObject Type="Embed" ProgID="Visio.Drawing.11" ShapeID="_x0000_i1025" DrawAspect="Content" ObjectID="_1468075725" r:id="rId14">
                  <o:LockedField>false</o:LockedField>
                </o:OLEObject>
              </w:object>
            </w:r>
          </w:p>
          <w:p w14:paraId="464D7524">
            <w:pPr>
              <w:pStyle w:val="17"/>
              <w:ind w:firstLine="0" w:firstLineChars="0"/>
              <w:jc w:val="center"/>
            </w:pPr>
            <w:r>
              <w:rPr>
                <w:rStyle w:val="19"/>
                <w:rFonts w:hint="eastAsia"/>
              </w:rPr>
              <w:t>图2-1  项目水平衡图   单位：t/a</w:t>
            </w:r>
          </w:p>
          <w:p w14:paraId="6015365C">
            <w:pPr>
              <w:pStyle w:val="17"/>
              <w:ind w:firstLine="480"/>
            </w:pPr>
            <w:r>
              <w:rPr>
                <w:rFonts w:hint="eastAsia"/>
              </w:rPr>
              <w:t>（3）供电</w:t>
            </w:r>
          </w:p>
          <w:p w14:paraId="1A7BC0F2">
            <w:pPr>
              <w:pStyle w:val="17"/>
              <w:ind w:firstLine="480"/>
            </w:pPr>
            <w:r>
              <w:rPr>
                <w:rFonts w:hint="eastAsia"/>
              </w:rPr>
              <w:t>由乡镇电网供给。</w:t>
            </w:r>
          </w:p>
        </w:tc>
      </w:tr>
      <w:tr w14:paraId="0B079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dxa"/>
            <w:vAlign w:val="center"/>
          </w:tcPr>
          <w:p w14:paraId="2B9FC0DE">
            <w:pPr>
              <w:ind w:firstLine="0" w:firstLineChars="0"/>
              <w:jc w:val="center"/>
            </w:pPr>
          </w:p>
          <w:p w14:paraId="058C6465">
            <w:pPr>
              <w:ind w:firstLine="0" w:firstLineChars="0"/>
              <w:jc w:val="center"/>
            </w:pPr>
          </w:p>
          <w:p w14:paraId="593E4292">
            <w:pPr>
              <w:ind w:firstLine="0" w:firstLineChars="0"/>
              <w:jc w:val="center"/>
            </w:pPr>
          </w:p>
          <w:p w14:paraId="6A0FFD06">
            <w:pPr>
              <w:ind w:firstLine="0" w:firstLineChars="0"/>
              <w:jc w:val="center"/>
            </w:pPr>
          </w:p>
          <w:p w14:paraId="58FDFC90">
            <w:pPr>
              <w:ind w:firstLine="0" w:firstLineChars="0"/>
              <w:jc w:val="center"/>
            </w:pPr>
          </w:p>
          <w:p w14:paraId="1BD11074">
            <w:pPr>
              <w:ind w:firstLine="0" w:firstLineChars="0"/>
              <w:jc w:val="center"/>
            </w:pPr>
          </w:p>
          <w:p w14:paraId="5876A3C8">
            <w:pPr>
              <w:ind w:firstLine="0" w:firstLineChars="0"/>
              <w:jc w:val="center"/>
            </w:pPr>
          </w:p>
          <w:p w14:paraId="07439527">
            <w:pPr>
              <w:ind w:firstLine="0" w:firstLineChars="0"/>
              <w:jc w:val="center"/>
            </w:pPr>
          </w:p>
          <w:p w14:paraId="47D8DA05">
            <w:pPr>
              <w:ind w:firstLine="0" w:firstLineChars="0"/>
              <w:jc w:val="center"/>
            </w:pPr>
          </w:p>
          <w:p w14:paraId="015CD555">
            <w:pPr>
              <w:ind w:firstLine="0" w:firstLineChars="0"/>
              <w:jc w:val="center"/>
            </w:pPr>
          </w:p>
          <w:p w14:paraId="50F619AB">
            <w:pPr>
              <w:ind w:firstLine="0" w:firstLineChars="0"/>
              <w:jc w:val="center"/>
            </w:pPr>
          </w:p>
          <w:p w14:paraId="41687D56">
            <w:pPr>
              <w:ind w:firstLine="0" w:firstLineChars="0"/>
              <w:jc w:val="center"/>
            </w:pPr>
          </w:p>
          <w:p w14:paraId="60502EE5">
            <w:pPr>
              <w:ind w:firstLine="0" w:firstLineChars="0"/>
              <w:jc w:val="center"/>
            </w:pPr>
          </w:p>
          <w:p w14:paraId="2156733B">
            <w:pPr>
              <w:ind w:firstLine="0" w:firstLineChars="0"/>
              <w:jc w:val="center"/>
            </w:pPr>
          </w:p>
          <w:p w14:paraId="6D32709E">
            <w:pPr>
              <w:ind w:firstLine="0" w:firstLineChars="0"/>
            </w:pPr>
            <w:r>
              <w:rPr>
                <w:rFonts w:hint="eastAsia"/>
              </w:rPr>
              <w:t>工</w:t>
            </w:r>
          </w:p>
          <w:p w14:paraId="3CAAC11A">
            <w:pPr>
              <w:ind w:firstLine="0" w:firstLineChars="0"/>
              <w:jc w:val="center"/>
            </w:pPr>
            <w:r>
              <w:rPr>
                <w:rFonts w:hint="eastAsia"/>
              </w:rPr>
              <w:t>艺</w:t>
            </w:r>
          </w:p>
          <w:p w14:paraId="6204E0E3">
            <w:pPr>
              <w:ind w:firstLine="0" w:firstLineChars="0"/>
              <w:jc w:val="center"/>
            </w:pPr>
            <w:r>
              <w:rPr>
                <w:rFonts w:hint="eastAsia"/>
              </w:rPr>
              <w:t>流</w:t>
            </w:r>
          </w:p>
          <w:p w14:paraId="618A73C0">
            <w:pPr>
              <w:ind w:firstLine="0" w:firstLineChars="0"/>
              <w:jc w:val="center"/>
            </w:pPr>
            <w:r>
              <w:rPr>
                <w:rFonts w:hint="eastAsia"/>
              </w:rPr>
              <w:t>程</w:t>
            </w:r>
          </w:p>
          <w:p w14:paraId="609E57B6">
            <w:pPr>
              <w:ind w:firstLine="0" w:firstLineChars="0"/>
              <w:jc w:val="center"/>
            </w:pPr>
            <w:r>
              <w:rPr>
                <w:rFonts w:hint="eastAsia"/>
              </w:rPr>
              <w:t>和</w:t>
            </w:r>
          </w:p>
          <w:p w14:paraId="74C65AD9">
            <w:pPr>
              <w:ind w:firstLine="0" w:firstLineChars="0"/>
              <w:jc w:val="center"/>
            </w:pPr>
            <w:r>
              <w:rPr>
                <w:rFonts w:hint="eastAsia"/>
              </w:rPr>
              <w:t>产</w:t>
            </w:r>
          </w:p>
          <w:p w14:paraId="550A3226">
            <w:pPr>
              <w:ind w:firstLine="0" w:firstLineChars="0"/>
              <w:jc w:val="center"/>
            </w:pPr>
            <w:r>
              <w:rPr>
                <w:rFonts w:hint="eastAsia"/>
              </w:rPr>
              <w:t>排</w:t>
            </w:r>
          </w:p>
          <w:p w14:paraId="583B3CC2">
            <w:pPr>
              <w:ind w:firstLine="0" w:firstLineChars="0"/>
              <w:jc w:val="center"/>
            </w:pPr>
            <w:r>
              <w:rPr>
                <w:rFonts w:hint="eastAsia"/>
              </w:rPr>
              <w:t>污</w:t>
            </w:r>
          </w:p>
          <w:p w14:paraId="72E09B96">
            <w:pPr>
              <w:ind w:firstLine="0" w:firstLineChars="0"/>
              <w:jc w:val="center"/>
            </w:pPr>
            <w:r>
              <w:rPr>
                <w:rFonts w:hint="eastAsia"/>
              </w:rPr>
              <w:t>环</w:t>
            </w:r>
          </w:p>
          <w:p w14:paraId="729069B3">
            <w:pPr>
              <w:ind w:firstLine="0" w:firstLineChars="0"/>
              <w:jc w:val="center"/>
            </w:pPr>
            <w:r>
              <w:rPr>
                <w:rFonts w:hint="eastAsia"/>
              </w:rPr>
              <w:t>节</w:t>
            </w:r>
          </w:p>
        </w:tc>
        <w:tc>
          <w:tcPr>
            <w:tcW w:w="8074" w:type="dxa"/>
          </w:tcPr>
          <w:p w14:paraId="3CB30557">
            <w:pPr>
              <w:pStyle w:val="16"/>
              <w:numPr>
                <w:ilvl w:val="0"/>
                <w:numId w:val="3"/>
              </w:numPr>
              <w:ind w:firstLine="482"/>
            </w:pPr>
            <w:r>
              <w:t>施工期工艺流程图及产污环节</w:t>
            </w:r>
          </w:p>
          <w:p w14:paraId="18C420C4">
            <w:pPr>
              <w:pStyle w:val="17"/>
              <w:ind w:firstLine="480"/>
            </w:pPr>
            <w:r>
              <w:t>本项目租赁湖南远发建筑工程有限公司（湘北现代商贸物流园）已建厂房进行生产，施工期只在厂房中进行设备安装，污染物产生量较小，故项目施工期不会对周围环境产生明显影响，本次评价不对施工期影响进行分析。</w:t>
            </w:r>
          </w:p>
          <w:p w14:paraId="3A92E71A">
            <w:pPr>
              <w:pStyle w:val="16"/>
              <w:ind w:firstLine="482"/>
            </w:pPr>
            <w:r>
              <w:rPr>
                <w:rFonts w:hint="eastAsia"/>
              </w:rPr>
              <w:t>2、营运期</w:t>
            </w:r>
            <w:r>
              <w:t>工艺流程图及产污环节</w:t>
            </w:r>
          </w:p>
          <w:p w14:paraId="7D5AD29D">
            <w:pPr>
              <w:pStyle w:val="17"/>
              <w:ind w:firstLine="482"/>
              <w:rPr>
                <w:b/>
                <w:bCs/>
              </w:rPr>
            </w:pPr>
            <w:r>
              <w:rPr>
                <w:rFonts w:hint="eastAsia"/>
                <w:b/>
                <w:bCs/>
              </w:rPr>
              <w:t>（1）碗、筷勺清洗工艺及产污环节详见下图。</w:t>
            </w:r>
          </w:p>
          <w:p w14:paraId="023EDB10">
            <w:pPr>
              <w:pStyle w:val="18"/>
            </w:pPr>
            <w:r>
              <w:rPr>
                <w:rFonts w:hint="eastAsia"/>
              </w:rPr>
              <w:object>
                <v:shape id="_x0000_i1026" o:spt="75" type="#_x0000_t75" style="height:191.25pt;width:354pt;" o:ole="t" filled="f" o:preferrelative="t" stroked="f" coordsize="21600,21600">
                  <v:path/>
                  <v:fill on="f" focussize="0,0"/>
                  <v:stroke on="f" joinstyle="miter"/>
                  <v:imagedata r:id="rId17" o:title=""/>
                  <o:lock v:ext="edit" aspectratio="t"/>
                  <w10:wrap type="none"/>
                  <w10:anchorlock/>
                </v:shape>
                <o:OLEObject Type="Embed" ProgID="Visio.Drawing.11" ShapeID="_x0000_i1026" DrawAspect="Content" ObjectID="_1468075726" r:id="rId16">
                  <o:LockedField>false</o:LockedField>
                </o:OLEObject>
              </w:object>
            </w:r>
          </w:p>
          <w:p w14:paraId="2ED4F97C">
            <w:pPr>
              <w:pStyle w:val="18"/>
            </w:pPr>
            <w:r>
              <w:rPr>
                <w:rFonts w:hint="eastAsia"/>
              </w:rPr>
              <w:t>图2-1  碗、筷勺清洗工艺流程图</w:t>
            </w:r>
          </w:p>
          <w:p w14:paraId="04A67B6D">
            <w:pPr>
              <w:pStyle w:val="17"/>
              <w:ind w:firstLine="480"/>
            </w:pPr>
            <w:r>
              <w:rPr>
                <w:rFonts w:hint="eastAsia"/>
              </w:rPr>
              <w:t>生产工艺简述：</w:t>
            </w:r>
          </w:p>
          <w:p w14:paraId="76254C27">
            <w:pPr>
              <w:pStyle w:val="17"/>
              <w:ind w:firstLine="480"/>
            </w:pPr>
            <w:r>
              <w:rPr>
                <w:rFonts w:hint="eastAsia"/>
              </w:rPr>
              <w:t>本项目工艺较为简单，只涉及到物理过程，无化学反应。</w:t>
            </w:r>
          </w:p>
          <w:p w14:paraId="6B2E97ED">
            <w:pPr>
              <w:pStyle w:val="17"/>
              <w:ind w:firstLine="480"/>
            </w:pPr>
            <w:r>
              <w:rPr>
                <w:rFonts w:hint="eastAsia"/>
              </w:rPr>
              <w:t>餐具回收区：项目首先对从各处收集待清洗的餐具进行人工除渣去除大块食物残渣，由于餐具回收委托单位在运输前均将餐具中残余物清理过，所以待清洗餐具中的食物残渣较少；</w:t>
            </w:r>
          </w:p>
          <w:p w14:paraId="65FF1D2C">
            <w:pPr>
              <w:pStyle w:val="17"/>
              <w:ind w:firstLine="480"/>
            </w:pPr>
            <w:r>
              <w:rPr>
                <w:rFonts w:hint="eastAsia"/>
              </w:rPr>
              <w:t>除渣分拣：对餐具进行除渣、筷勺分类；</w:t>
            </w:r>
          </w:p>
          <w:p w14:paraId="32D5441D">
            <w:pPr>
              <w:pStyle w:val="17"/>
              <w:ind w:firstLine="480"/>
            </w:pPr>
            <w:r>
              <w:rPr>
                <w:rFonts w:hint="eastAsia"/>
              </w:rPr>
              <w:t>洗碗生产线：经分拣后碗碟先去油粗洗后进入有浸泡粉的浸泡池中浸泡，泡洗后的碗碟，由输送机输送精洗，采用高温喷淋工艺冲洗掉餐具表面的浸泡粉，精洗后的碗碟再进行高温消毒烘干，烘干温度约150~180℃（通过蒸汽获得）。烘干机采用蒸汽热源进行烘干，不使用消毒剂；</w:t>
            </w:r>
          </w:p>
          <w:p w14:paraId="40BC6952">
            <w:pPr>
              <w:pStyle w:val="17"/>
              <w:ind w:firstLine="480"/>
            </w:pPr>
            <w:r>
              <w:rPr>
                <w:rFonts w:hint="eastAsia"/>
              </w:rPr>
              <w:t>洗筷勺生产线：经分拣后碗碟先粗洗后进入有浸泡粉的浸泡池中浸泡，泡洗后的碗碟，由输送机输送精洗，采用高温喷淋工艺冲洗掉餐具表面的浸泡粉，精洗后的碗碟再进行高温消毒烘干，烘干温度约150~180℃（通过蒸汽获得）。烘干机采用蒸汽热源进行烘干，不使用消毒剂；</w:t>
            </w:r>
          </w:p>
          <w:p w14:paraId="213ADF41">
            <w:pPr>
              <w:pStyle w:val="17"/>
              <w:ind w:firstLine="480"/>
            </w:pPr>
            <w:r>
              <w:rPr>
                <w:rFonts w:hint="eastAsia"/>
              </w:rPr>
              <w:t>包装：采用高速餐具包装机对消毒烘干好的餐具进行包装，包装机为热收缩包装机，是采用收缩包装膜在产品或包装外边直接加热，无需粘接材料，收缩不影响包装物品的品质，因此该过程无废气产生。</w:t>
            </w:r>
          </w:p>
          <w:p w14:paraId="545C9289">
            <w:pPr>
              <w:pStyle w:val="17"/>
              <w:ind w:firstLine="480"/>
            </w:pPr>
            <w:r>
              <w:rPr>
                <w:rFonts w:hint="eastAsia"/>
              </w:rPr>
              <w:t>入库：包装封口后的各类餐具装箱后，推送至成品仓库，按规定程序入库，分类摆放。</w:t>
            </w:r>
          </w:p>
          <w:p w14:paraId="52FD1747">
            <w:pPr>
              <w:pStyle w:val="17"/>
              <w:ind w:firstLine="482"/>
              <w:rPr>
                <w:b/>
                <w:bCs/>
              </w:rPr>
            </w:pPr>
            <w:r>
              <w:rPr>
                <w:rFonts w:hint="eastAsia"/>
                <w:b/>
                <w:bCs/>
              </w:rPr>
              <w:t>（2）箱子清洗工艺及产污环节详见下图。</w:t>
            </w:r>
          </w:p>
          <w:p w14:paraId="0771CF1D">
            <w:pPr>
              <w:pStyle w:val="15"/>
            </w:pPr>
            <w:r>
              <w:object>
                <v:shape id="_x0000_i1027" o:spt="75" type="#_x0000_t75" style="height:92.25pt;width:270pt;" o:ole="t" filled="f" o:preferrelative="t" stroked="f" coordsize="21600,21600">
                  <v:path/>
                  <v:fill on="f" focussize="0,0"/>
                  <v:stroke on="f" joinstyle="miter"/>
                  <v:imagedata r:id="rId19" o:title=""/>
                  <o:lock v:ext="edit" aspectratio="t"/>
                  <w10:wrap type="none"/>
                  <w10:anchorlock/>
                </v:shape>
                <o:OLEObject Type="Embed" ProgID="Visio.Drawing.11" ShapeID="_x0000_i1027" DrawAspect="Content" ObjectID="_1468075727" r:id="rId18">
                  <o:LockedField>false</o:LockedField>
                </o:OLEObject>
              </w:object>
            </w:r>
          </w:p>
          <w:p w14:paraId="073D3A53">
            <w:pPr>
              <w:pStyle w:val="18"/>
            </w:pPr>
            <w:r>
              <w:rPr>
                <w:rFonts w:hint="eastAsia"/>
              </w:rPr>
              <w:t>图2-2  箱子清洗工艺流程图</w:t>
            </w:r>
          </w:p>
          <w:p w14:paraId="04745509">
            <w:pPr>
              <w:pStyle w:val="17"/>
              <w:ind w:firstLine="480"/>
            </w:pPr>
            <w:r>
              <w:rPr>
                <w:rFonts w:hint="eastAsia"/>
              </w:rPr>
              <w:t>生产工艺简述：</w:t>
            </w:r>
          </w:p>
          <w:p w14:paraId="3A76EC64">
            <w:pPr>
              <w:pStyle w:val="17"/>
              <w:ind w:firstLine="480"/>
            </w:pPr>
            <w:r>
              <w:t>箱子清洗工序较为简单，经过喷淋清洗后，再通过高温消毒</w:t>
            </w:r>
            <w:r>
              <w:rPr>
                <w:rFonts w:hint="eastAsia"/>
              </w:rPr>
              <w:t>烘干</w:t>
            </w:r>
            <w:r>
              <w:t>，即可用于餐具进行装箱使用。</w:t>
            </w:r>
          </w:p>
        </w:tc>
      </w:tr>
      <w:tr w14:paraId="0ED69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dxa"/>
            <w:vAlign w:val="center"/>
          </w:tcPr>
          <w:p w14:paraId="15D47A04">
            <w:pPr>
              <w:spacing w:line="240" w:lineRule="auto"/>
              <w:ind w:firstLine="0" w:firstLineChars="0"/>
              <w:jc w:val="center"/>
            </w:pPr>
            <w:r>
              <w:rPr>
                <w:rFonts w:hint="eastAsia"/>
              </w:rPr>
              <w:t>与项目有关的原有环境污染问题</w:t>
            </w:r>
          </w:p>
        </w:tc>
        <w:tc>
          <w:tcPr>
            <w:tcW w:w="8074" w:type="dxa"/>
            <w:vAlign w:val="center"/>
          </w:tcPr>
          <w:p w14:paraId="0AA60D99">
            <w:pPr>
              <w:pStyle w:val="17"/>
              <w:ind w:firstLine="480"/>
            </w:pPr>
            <w:r>
              <w:rPr>
                <w:rFonts w:hint="eastAsia"/>
              </w:rPr>
              <w:t>本项目</w:t>
            </w:r>
            <w:r>
              <w:t>租赁湖南远发建筑工程有限公司（湘北现代商贸物流园）已建厂房进行生产</w:t>
            </w:r>
            <w:r>
              <w:rPr>
                <w:rFonts w:hint="eastAsia"/>
              </w:rPr>
              <w:t>（未被利用过）</w:t>
            </w:r>
            <w:r>
              <w:t>，</w:t>
            </w:r>
            <w:r>
              <w:rPr>
                <w:rFonts w:hint="eastAsia"/>
              </w:rPr>
              <w:t>地面硬化，</w:t>
            </w:r>
            <w:r>
              <w:t>不存在土壤污染问题。目前已安装部分设备，未进行生产加工活动。没有与本次评价有关的原有环境污染问题。</w:t>
            </w:r>
          </w:p>
        </w:tc>
      </w:tr>
    </w:tbl>
    <w:p w14:paraId="377A44EF">
      <w:pPr>
        <w:ind w:firstLine="480"/>
      </w:pPr>
      <w:r>
        <w:rPr>
          <w:rFonts w:hint="eastAsia"/>
        </w:rPr>
        <w:br w:type="page"/>
      </w:r>
    </w:p>
    <w:p w14:paraId="756C4E76">
      <w:pPr>
        <w:pStyle w:val="2"/>
        <w:numPr>
          <w:ilvl w:val="0"/>
          <w:numId w:val="4"/>
        </w:numPr>
      </w:pPr>
      <w:bookmarkStart w:id="10" w:name="_Toc20279"/>
      <w:bookmarkStart w:id="11" w:name="_Toc30241"/>
      <w:r>
        <w:t>区域环境质量现状、环境保护目标及评价标准</w:t>
      </w:r>
      <w:bookmarkEnd w:id="10"/>
      <w:bookmarkEnd w:id="11"/>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8115"/>
      </w:tblGrid>
      <w:tr w14:paraId="2ECD3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dxa"/>
            <w:vAlign w:val="center"/>
          </w:tcPr>
          <w:p w14:paraId="6AC107A7">
            <w:pPr>
              <w:ind w:firstLine="0" w:firstLineChars="0"/>
              <w:jc w:val="center"/>
            </w:pPr>
            <w:r>
              <w:rPr>
                <w:rFonts w:hint="eastAsia"/>
              </w:rPr>
              <w:t>区域环境质量现状</w:t>
            </w:r>
          </w:p>
        </w:tc>
        <w:tc>
          <w:tcPr>
            <w:tcW w:w="8115" w:type="dxa"/>
          </w:tcPr>
          <w:p w14:paraId="6E961BDA">
            <w:pPr>
              <w:pStyle w:val="16"/>
              <w:ind w:firstLine="482"/>
            </w:pPr>
            <w:r>
              <w:rPr>
                <w:rFonts w:hint="eastAsia"/>
              </w:rPr>
              <w:t>1、环境空气质量现状</w:t>
            </w:r>
          </w:p>
          <w:p w14:paraId="5F7F6134">
            <w:pPr>
              <w:pStyle w:val="17"/>
              <w:ind w:firstLine="480"/>
            </w:pPr>
            <w:r>
              <w:rPr>
                <w:rFonts w:hint="eastAsia"/>
              </w:rPr>
              <w:t>根据生态环境部办公厅2020年12月24日印发的《建设项目环境影响报告表编制技术指南（污染影响类）（试行）》中具体编制要求，常规污染物引用与建设项目距离近的有效数据，包括近3年的规划环境影响评价的监测数据，国家、地方环境空气质量监测网数据或生态环境主管部门公开发布的质量数据等。排放国家、地方环境空气质量标准中有标准限值要求的特征污染物时，引用建设项目周边5千米范围内近3年的现有监测数据。</w:t>
            </w:r>
          </w:p>
          <w:p w14:paraId="5B15E083">
            <w:pPr>
              <w:pStyle w:val="17"/>
              <w:ind w:firstLine="480"/>
            </w:pPr>
            <w:r>
              <w:rPr>
                <w:rFonts w:hint="eastAsia"/>
              </w:rPr>
              <w:t>根据《环境影响评价技术导则 大气环境》（HJ2.2-2018）中“6.21项目所在区域达标判定，优先采用评价基准年国家或地方生态环境主管部门公布的数据质量公告或环境质量报告中的数据或结论”。本次评价引用岳阳市生态环境主管部门已公布的岳阳市2023年度生态环境质量公报中岳阳县监测数据，具体监测数据统计详见下表。</w:t>
            </w:r>
          </w:p>
          <w:p w14:paraId="721E1424">
            <w:pPr>
              <w:pStyle w:val="18"/>
            </w:pPr>
            <w:r>
              <w:rPr>
                <w:rFonts w:hint="eastAsia"/>
              </w:rPr>
              <w:t>表3-1  基本污染物环境质量现状统计表</w:t>
            </w:r>
          </w:p>
          <w:tbl>
            <w:tblPr>
              <w:tblStyle w:val="11"/>
              <w:tblW w:w="497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3113"/>
              <w:gridCol w:w="1185"/>
              <w:gridCol w:w="1070"/>
              <w:gridCol w:w="872"/>
              <w:gridCol w:w="757"/>
            </w:tblGrid>
            <w:tr w14:paraId="25FB7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47" w:type="pct"/>
                  <w:vMerge w:val="restart"/>
                  <w:tcBorders>
                    <w:top w:val="single" w:color="auto" w:sz="4" w:space="0"/>
                    <w:left w:val="single" w:color="auto" w:sz="4" w:space="0"/>
                    <w:bottom w:val="single" w:color="auto" w:sz="4" w:space="0"/>
                    <w:right w:val="single" w:color="auto" w:sz="4" w:space="0"/>
                  </w:tcBorders>
                  <w:vAlign w:val="center"/>
                </w:tcPr>
                <w:p w14:paraId="363EAAF2">
                  <w:pPr>
                    <w:pStyle w:val="15"/>
                  </w:pPr>
                  <w:r>
                    <w:rPr>
                      <w:rFonts w:hint="eastAsia"/>
                    </w:rPr>
                    <w:t>污染物</w:t>
                  </w:r>
                </w:p>
              </w:tc>
              <w:tc>
                <w:tcPr>
                  <w:tcW w:w="1979" w:type="pct"/>
                  <w:vMerge w:val="restart"/>
                  <w:tcBorders>
                    <w:top w:val="single" w:color="auto" w:sz="4" w:space="0"/>
                    <w:left w:val="single" w:color="auto" w:sz="4" w:space="0"/>
                    <w:bottom w:val="single" w:color="auto" w:sz="4" w:space="0"/>
                    <w:right w:val="single" w:color="auto" w:sz="4" w:space="0"/>
                  </w:tcBorders>
                  <w:vAlign w:val="center"/>
                </w:tcPr>
                <w:p w14:paraId="7492389C">
                  <w:pPr>
                    <w:pStyle w:val="15"/>
                  </w:pPr>
                  <w:r>
                    <w:rPr>
                      <w:rFonts w:hint="eastAsia"/>
                    </w:rPr>
                    <w:t>年评价指标</w:t>
                  </w:r>
                </w:p>
              </w:tc>
              <w:tc>
                <w:tcPr>
                  <w:tcW w:w="753" w:type="pct"/>
                  <w:vMerge w:val="restart"/>
                  <w:tcBorders>
                    <w:top w:val="single" w:color="auto" w:sz="4" w:space="0"/>
                    <w:left w:val="single" w:color="auto" w:sz="4" w:space="0"/>
                    <w:bottom w:val="single" w:color="auto" w:sz="4" w:space="0"/>
                    <w:right w:val="single" w:color="auto" w:sz="4" w:space="0"/>
                  </w:tcBorders>
                  <w:vAlign w:val="center"/>
                </w:tcPr>
                <w:p w14:paraId="29AE809E">
                  <w:pPr>
                    <w:pStyle w:val="15"/>
                  </w:pPr>
                  <w:r>
                    <w:rPr>
                      <w:rFonts w:hint="eastAsia"/>
                    </w:rPr>
                    <w:t>现状浓度（</w:t>
                  </w:r>
                  <w:r>
                    <w:t>ug/m</w:t>
                  </w:r>
                  <w:r>
                    <w:rPr>
                      <w:vertAlign w:val="superscript"/>
                    </w:rPr>
                    <w:t>3</w:t>
                  </w:r>
                  <w:r>
                    <w:rPr>
                      <w:rFonts w:hint="eastAsia"/>
                    </w:rPr>
                    <w:t>）</w:t>
                  </w:r>
                </w:p>
              </w:tc>
              <w:tc>
                <w:tcPr>
                  <w:tcW w:w="680" w:type="pct"/>
                  <w:vMerge w:val="restart"/>
                  <w:tcBorders>
                    <w:top w:val="single" w:color="auto" w:sz="4" w:space="0"/>
                    <w:left w:val="single" w:color="auto" w:sz="4" w:space="0"/>
                    <w:bottom w:val="single" w:color="auto" w:sz="4" w:space="0"/>
                    <w:right w:val="single" w:color="auto" w:sz="4" w:space="0"/>
                  </w:tcBorders>
                  <w:vAlign w:val="center"/>
                </w:tcPr>
                <w:p w14:paraId="7AA45381">
                  <w:pPr>
                    <w:pStyle w:val="15"/>
                  </w:pPr>
                  <w:r>
                    <w:rPr>
                      <w:rFonts w:hint="eastAsia"/>
                    </w:rPr>
                    <w:t>标准值（</w:t>
                  </w:r>
                  <w:r>
                    <w:t>ug/m</w:t>
                  </w:r>
                  <w:r>
                    <w:rPr>
                      <w:vertAlign w:val="superscript"/>
                    </w:rPr>
                    <w:t>3</w:t>
                  </w:r>
                  <w:r>
                    <w:rPr>
                      <w:rFonts w:hint="eastAsia"/>
                    </w:rPr>
                    <w:t>）</w:t>
                  </w:r>
                </w:p>
              </w:tc>
              <w:tc>
                <w:tcPr>
                  <w:tcW w:w="555" w:type="pct"/>
                  <w:vMerge w:val="restart"/>
                  <w:tcBorders>
                    <w:top w:val="single" w:color="auto" w:sz="4" w:space="0"/>
                    <w:left w:val="single" w:color="auto" w:sz="4" w:space="0"/>
                    <w:bottom w:val="single" w:color="auto" w:sz="4" w:space="0"/>
                    <w:right w:val="single" w:color="auto" w:sz="4" w:space="0"/>
                  </w:tcBorders>
                  <w:vAlign w:val="center"/>
                </w:tcPr>
                <w:p w14:paraId="25C721FD">
                  <w:pPr>
                    <w:pStyle w:val="15"/>
                  </w:pPr>
                  <w:r>
                    <w:rPr>
                      <w:rFonts w:hint="eastAsia"/>
                    </w:rPr>
                    <w:t>占标率（</w:t>
                  </w:r>
                  <w:r>
                    <w:t>%</w:t>
                  </w:r>
                  <w:r>
                    <w:rPr>
                      <w:rFonts w:hint="eastAsia"/>
                    </w:rPr>
                    <w:t>）</w:t>
                  </w:r>
                </w:p>
              </w:tc>
              <w:tc>
                <w:tcPr>
                  <w:tcW w:w="482" w:type="pct"/>
                  <w:vMerge w:val="restart"/>
                  <w:tcBorders>
                    <w:top w:val="single" w:color="auto" w:sz="4" w:space="0"/>
                    <w:left w:val="single" w:color="auto" w:sz="4" w:space="0"/>
                    <w:bottom w:val="single" w:color="auto" w:sz="4" w:space="0"/>
                    <w:right w:val="single" w:color="auto" w:sz="4" w:space="0"/>
                  </w:tcBorders>
                  <w:vAlign w:val="center"/>
                </w:tcPr>
                <w:p w14:paraId="1C72C5DB">
                  <w:pPr>
                    <w:pStyle w:val="15"/>
                  </w:pPr>
                  <w:r>
                    <w:rPr>
                      <w:rFonts w:hint="eastAsia"/>
                    </w:rPr>
                    <w:t>达标情况</w:t>
                  </w:r>
                </w:p>
              </w:tc>
            </w:tr>
            <w:tr w14:paraId="70B44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47" w:type="pct"/>
                  <w:vMerge w:val="continue"/>
                  <w:tcBorders>
                    <w:top w:val="single" w:color="auto" w:sz="4" w:space="0"/>
                    <w:left w:val="single" w:color="auto" w:sz="4" w:space="0"/>
                    <w:bottom w:val="single" w:color="auto" w:sz="4" w:space="0"/>
                    <w:right w:val="single" w:color="auto" w:sz="4" w:space="0"/>
                  </w:tcBorders>
                  <w:vAlign w:val="center"/>
                </w:tcPr>
                <w:p w14:paraId="6AB64A1D">
                  <w:pPr>
                    <w:pStyle w:val="15"/>
                  </w:pPr>
                </w:p>
              </w:tc>
              <w:tc>
                <w:tcPr>
                  <w:tcW w:w="1979" w:type="pct"/>
                  <w:vMerge w:val="continue"/>
                  <w:tcBorders>
                    <w:top w:val="single" w:color="auto" w:sz="4" w:space="0"/>
                    <w:left w:val="single" w:color="auto" w:sz="4" w:space="0"/>
                    <w:bottom w:val="single" w:color="auto" w:sz="4" w:space="0"/>
                    <w:right w:val="single" w:color="auto" w:sz="4" w:space="0"/>
                  </w:tcBorders>
                  <w:vAlign w:val="center"/>
                </w:tcPr>
                <w:p w14:paraId="75CACCC6">
                  <w:pPr>
                    <w:pStyle w:val="15"/>
                  </w:pPr>
                </w:p>
              </w:tc>
              <w:tc>
                <w:tcPr>
                  <w:tcW w:w="753" w:type="pct"/>
                  <w:vMerge w:val="continue"/>
                  <w:tcBorders>
                    <w:top w:val="single" w:color="auto" w:sz="4" w:space="0"/>
                    <w:left w:val="single" w:color="auto" w:sz="4" w:space="0"/>
                    <w:bottom w:val="single" w:color="auto" w:sz="4" w:space="0"/>
                    <w:right w:val="single" w:color="auto" w:sz="4" w:space="0"/>
                  </w:tcBorders>
                  <w:vAlign w:val="center"/>
                </w:tcPr>
                <w:p w14:paraId="6AB78D5D">
                  <w:pPr>
                    <w:pStyle w:val="15"/>
                  </w:pPr>
                </w:p>
              </w:tc>
              <w:tc>
                <w:tcPr>
                  <w:tcW w:w="680" w:type="pct"/>
                  <w:vMerge w:val="continue"/>
                  <w:tcBorders>
                    <w:top w:val="single" w:color="auto" w:sz="4" w:space="0"/>
                    <w:left w:val="single" w:color="auto" w:sz="4" w:space="0"/>
                    <w:bottom w:val="single" w:color="auto" w:sz="4" w:space="0"/>
                    <w:right w:val="single" w:color="auto" w:sz="4" w:space="0"/>
                  </w:tcBorders>
                  <w:vAlign w:val="center"/>
                </w:tcPr>
                <w:p w14:paraId="48E01DA1">
                  <w:pPr>
                    <w:pStyle w:val="15"/>
                  </w:pPr>
                </w:p>
              </w:tc>
              <w:tc>
                <w:tcPr>
                  <w:tcW w:w="555" w:type="pct"/>
                  <w:vMerge w:val="continue"/>
                  <w:tcBorders>
                    <w:top w:val="single" w:color="auto" w:sz="4" w:space="0"/>
                    <w:left w:val="single" w:color="auto" w:sz="4" w:space="0"/>
                    <w:bottom w:val="single" w:color="auto" w:sz="4" w:space="0"/>
                    <w:right w:val="single" w:color="auto" w:sz="4" w:space="0"/>
                  </w:tcBorders>
                  <w:vAlign w:val="center"/>
                </w:tcPr>
                <w:p w14:paraId="5F2C6F9E">
                  <w:pPr>
                    <w:pStyle w:val="15"/>
                  </w:pPr>
                </w:p>
              </w:tc>
              <w:tc>
                <w:tcPr>
                  <w:tcW w:w="482" w:type="pct"/>
                  <w:vMerge w:val="continue"/>
                  <w:tcBorders>
                    <w:top w:val="single" w:color="auto" w:sz="4" w:space="0"/>
                    <w:left w:val="single" w:color="auto" w:sz="4" w:space="0"/>
                    <w:bottom w:val="single" w:color="auto" w:sz="4" w:space="0"/>
                    <w:right w:val="single" w:color="auto" w:sz="4" w:space="0"/>
                  </w:tcBorders>
                  <w:vAlign w:val="center"/>
                </w:tcPr>
                <w:p w14:paraId="0404B770">
                  <w:pPr>
                    <w:pStyle w:val="15"/>
                  </w:pPr>
                </w:p>
              </w:tc>
            </w:tr>
            <w:tr w14:paraId="196F1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7" w:type="pct"/>
                  <w:tcBorders>
                    <w:top w:val="single" w:color="auto" w:sz="4" w:space="0"/>
                    <w:left w:val="single" w:color="auto" w:sz="4" w:space="0"/>
                    <w:bottom w:val="single" w:color="auto" w:sz="4" w:space="0"/>
                    <w:right w:val="single" w:color="auto" w:sz="4" w:space="0"/>
                  </w:tcBorders>
                  <w:vAlign w:val="center"/>
                </w:tcPr>
                <w:p w14:paraId="7D240593">
                  <w:pPr>
                    <w:pStyle w:val="15"/>
                    <w:rPr>
                      <w:szCs w:val="21"/>
                    </w:rPr>
                  </w:pPr>
                  <w:r>
                    <w:t>PM</w:t>
                  </w:r>
                  <w:r>
                    <w:rPr>
                      <w:vertAlign w:val="subscript"/>
                    </w:rPr>
                    <w:t>2.5</w:t>
                  </w:r>
                </w:p>
              </w:tc>
              <w:tc>
                <w:tcPr>
                  <w:tcW w:w="1979" w:type="pct"/>
                  <w:tcBorders>
                    <w:top w:val="single" w:color="auto" w:sz="4" w:space="0"/>
                    <w:left w:val="single" w:color="auto" w:sz="4" w:space="0"/>
                    <w:bottom w:val="single" w:color="auto" w:sz="4" w:space="0"/>
                    <w:right w:val="single" w:color="auto" w:sz="4" w:space="0"/>
                  </w:tcBorders>
                  <w:vAlign w:val="center"/>
                </w:tcPr>
                <w:p w14:paraId="0A28B08A">
                  <w:pPr>
                    <w:pStyle w:val="15"/>
                    <w:rPr>
                      <w:szCs w:val="21"/>
                    </w:rPr>
                  </w:pPr>
                  <w:r>
                    <w:rPr>
                      <w:rFonts w:hint="eastAsia"/>
                    </w:rPr>
                    <w:t>年平均质量浓度</w:t>
                  </w:r>
                </w:p>
              </w:tc>
              <w:tc>
                <w:tcPr>
                  <w:tcW w:w="753" w:type="pct"/>
                  <w:tcBorders>
                    <w:top w:val="single" w:color="auto" w:sz="4" w:space="0"/>
                    <w:left w:val="single" w:color="auto" w:sz="4" w:space="0"/>
                    <w:bottom w:val="single" w:color="auto" w:sz="4" w:space="0"/>
                    <w:right w:val="single" w:color="auto" w:sz="4" w:space="0"/>
                  </w:tcBorders>
                  <w:vAlign w:val="center"/>
                </w:tcPr>
                <w:p w14:paraId="69129E61">
                  <w:pPr>
                    <w:pStyle w:val="15"/>
                  </w:pPr>
                  <w:r>
                    <w:rPr>
                      <w:rFonts w:hint="eastAsia"/>
                    </w:rPr>
                    <w:t>34</w:t>
                  </w:r>
                </w:p>
              </w:tc>
              <w:tc>
                <w:tcPr>
                  <w:tcW w:w="680" w:type="pct"/>
                  <w:tcBorders>
                    <w:top w:val="single" w:color="auto" w:sz="4" w:space="0"/>
                    <w:left w:val="single" w:color="auto" w:sz="4" w:space="0"/>
                    <w:bottom w:val="single" w:color="auto" w:sz="4" w:space="0"/>
                    <w:right w:val="single" w:color="auto" w:sz="4" w:space="0"/>
                  </w:tcBorders>
                  <w:vAlign w:val="center"/>
                </w:tcPr>
                <w:p w14:paraId="237BC0B3">
                  <w:pPr>
                    <w:pStyle w:val="15"/>
                  </w:pPr>
                  <w:r>
                    <w:t>35</w:t>
                  </w:r>
                </w:p>
              </w:tc>
              <w:tc>
                <w:tcPr>
                  <w:tcW w:w="555" w:type="pct"/>
                  <w:tcBorders>
                    <w:top w:val="single" w:color="auto" w:sz="4" w:space="0"/>
                    <w:left w:val="single" w:color="auto" w:sz="4" w:space="0"/>
                    <w:bottom w:val="single" w:color="auto" w:sz="4" w:space="0"/>
                    <w:right w:val="single" w:color="auto" w:sz="4" w:space="0"/>
                  </w:tcBorders>
                  <w:vAlign w:val="center"/>
                </w:tcPr>
                <w:p w14:paraId="3DA198EB">
                  <w:pPr>
                    <w:pStyle w:val="15"/>
                  </w:pPr>
                  <w:r>
                    <w:rPr>
                      <w:rFonts w:hint="eastAsia"/>
                    </w:rPr>
                    <w:t>91.7</w:t>
                  </w:r>
                </w:p>
              </w:tc>
              <w:tc>
                <w:tcPr>
                  <w:tcW w:w="482" w:type="pct"/>
                  <w:tcBorders>
                    <w:top w:val="single" w:color="auto" w:sz="4" w:space="0"/>
                    <w:left w:val="single" w:color="auto" w:sz="4" w:space="0"/>
                    <w:bottom w:val="single" w:color="auto" w:sz="4" w:space="0"/>
                    <w:right w:val="single" w:color="auto" w:sz="4" w:space="0"/>
                  </w:tcBorders>
                  <w:vAlign w:val="center"/>
                </w:tcPr>
                <w:p w14:paraId="38DC7AD3">
                  <w:pPr>
                    <w:pStyle w:val="15"/>
                  </w:pPr>
                  <w:r>
                    <w:rPr>
                      <w:rFonts w:hint="eastAsia"/>
                    </w:rPr>
                    <w:t>达标</w:t>
                  </w:r>
                </w:p>
              </w:tc>
            </w:tr>
            <w:tr w14:paraId="36953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7" w:type="pct"/>
                  <w:tcBorders>
                    <w:top w:val="single" w:color="auto" w:sz="4" w:space="0"/>
                    <w:left w:val="single" w:color="auto" w:sz="4" w:space="0"/>
                    <w:bottom w:val="single" w:color="auto" w:sz="4" w:space="0"/>
                    <w:right w:val="single" w:color="auto" w:sz="4" w:space="0"/>
                  </w:tcBorders>
                  <w:vAlign w:val="center"/>
                </w:tcPr>
                <w:p w14:paraId="0107B19D">
                  <w:pPr>
                    <w:pStyle w:val="15"/>
                    <w:rPr>
                      <w:szCs w:val="21"/>
                    </w:rPr>
                  </w:pPr>
                  <w:r>
                    <w:t>PM</w:t>
                  </w:r>
                  <w:r>
                    <w:rPr>
                      <w:vertAlign w:val="subscript"/>
                    </w:rPr>
                    <w:t>10</w:t>
                  </w:r>
                </w:p>
              </w:tc>
              <w:tc>
                <w:tcPr>
                  <w:tcW w:w="1979" w:type="pct"/>
                  <w:tcBorders>
                    <w:top w:val="single" w:color="auto" w:sz="4" w:space="0"/>
                    <w:left w:val="single" w:color="auto" w:sz="4" w:space="0"/>
                    <w:bottom w:val="single" w:color="auto" w:sz="4" w:space="0"/>
                    <w:right w:val="single" w:color="auto" w:sz="4" w:space="0"/>
                  </w:tcBorders>
                  <w:vAlign w:val="center"/>
                </w:tcPr>
                <w:p w14:paraId="3DBE8B3E">
                  <w:pPr>
                    <w:pStyle w:val="15"/>
                    <w:rPr>
                      <w:szCs w:val="21"/>
                    </w:rPr>
                  </w:pPr>
                  <w:r>
                    <w:rPr>
                      <w:rFonts w:hint="eastAsia"/>
                    </w:rPr>
                    <w:t>年平均质量浓度</w:t>
                  </w:r>
                </w:p>
              </w:tc>
              <w:tc>
                <w:tcPr>
                  <w:tcW w:w="753" w:type="pct"/>
                  <w:tcBorders>
                    <w:top w:val="single" w:color="auto" w:sz="4" w:space="0"/>
                    <w:left w:val="single" w:color="auto" w:sz="4" w:space="0"/>
                    <w:bottom w:val="single" w:color="auto" w:sz="4" w:space="0"/>
                    <w:right w:val="single" w:color="auto" w:sz="4" w:space="0"/>
                  </w:tcBorders>
                  <w:vAlign w:val="center"/>
                </w:tcPr>
                <w:p w14:paraId="1EED178A">
                  <w:pPr>
                    <w:pStyle w:val="15"/>
                    <w:rPr>
                      <w:szCs w:val="21"/>
                    </w:rPr>
                  </w:pPr>
                  <w:r>
                    <w:rPr>
                      <w:rFonts w:hint="eastAsia"/>
                      <w:szCs w:val="21"/>
                    </w:rPr>
                    <w:t>49</w:t>
                  </w:r>
                </w:p>
              </w:tc>
              <w:tc>
                <w:tcPr>
                  <w:tcW w:w="680" w:type="pct"/>
                  <w:tcBorders>
                    <w:top w:val="single" w:color="auto" w:sz="4" w:space="0"/>
                    <w:left w:val="single" w:color="auto" w:sz="4" w:space="0"/>
                    <w:bottom w:val="single" w:color="auto" w:sz="4" w:space="0"/>
                    <w:right w:val="single" w:color="auto" w:sz="4" w:space="0"/>
                  </w:tcBorders>
                  <w:vAlign w:val="center"/>
                </w:tcPr>
                <w:p w14:paraId="2A2FD312">
                  <w:pPr>
                    <w:pStyle w:val="15"/>
                    <w:rPr>
                      <w:szCs w:val="21"/>
                    </w:rPr>
                  </w:pPr>
                  <w:r>
                    <w:t>70</w:t>
                  </w:r>
                </w:p>
              </w:tc>
              <w:tc>
                <w:tcPr>
                  <w:tcW w:w="555" w:type="pct"/>
                  <w:tcBorders>
                    <w:top w:val="single" w:color="auto" w:sz="4" w:space="0"/>
                    <w:left w:val="single" w:color="auto" w:sz="4" w:space="0"/>
                    <w:bottom w:val="single" w:color="auto" w:sz="4" w:space="0"/>
                    <w:right w:val="single" w:color="auto" w:sz="4" w:space="0"/>
                  </w:tcBorders>
                  <w:vAlign w:val="center"/>
                </w:tcPr>
                <w:p w14:paraId="164BBC9F">
                  <w:pPr>
                    <w:pStyle w:val="15"/>
                    <w:rPr>
                      <w:szCs w:val="21"/>
                    </w:rPr>
                  </w:pPr>
                  <w:r>
                    <w:rPr>
                      <w:rFonts w:hint="eastAsia"/>
                    </w:rPr>
                    <w:t>70</w:t>
                  </w:r>
                </w:p>
              </w:tc>
              <w:tc>
                <w:tcPr>
                  <w:tcW w:w="482" w:type="pct"/>
                  <w:tcBorders>
                    <w:top w:val="single" w:color="auto" w:sz="4" w:space="0"/>
                    <w:left w:val="single" w:color="auto" w:sz="4" w:space="0"/>
                    <w:bottom w:val="single" w:color="auto" w:sz="4" w:space="0"/>
                    <w:right w:val="single" w:color="auto" w:sz="4" w:space="0"/>
                  </w:tcBorders>
                  <w:vAlign w:val="center"/>
                </w:tcPr>
                <w:p w14:paraId="14F076DA">
                  <w:pPr>
                    <w:pStyle w:val="15"/>
                    <w:rPr>
                      <w:szCs w:val="21"/>
                    </w:rPr>
                  </w:pPr>
                  <w:r>
                    <w:rPr>
                      <w:rFonts w:hint="eastAsia"/>
                    </w:rPr>
                    <w:t>达标</w:t>
                  </w:r>
                </w:p>
              </w:tc>
            </w:tr>
            <w:tr w14:paraId="6B5F8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7" w:type="pct"/>
                  <w:tcBorders>
                    <w:top w:val="single" w:color="auto" w:sz="4" w:space="0"/>
                    <w:left w:val="single" w:color="auto" w:sz="4" w:space="0"/>
                    <w:bottom w:val="single" w:color="auto" w:sz="4" w:space="0"/>
                    <w:right w:val="single" w:color="auto" w:sz="4" w:space="0"/>
                  </w:tcBorders>
                  <w:vAlign w:val="center"/>
                </w:tcPr>
                <w:p w14:paraId="786420DF">
                  <w:pPr>
                    <w:pStyle w:val="15"/>
                    <w:rPr>
                      <w:szCs w:val="21"/>
                    </w:rPr>
                  </w:pPr>
                  <w:r>
                    <w:t>O</w:t>
                  </w:r>
                  <w:r>
                    <w:rPr>
                      <w:vertAlign w:val="subscript"/>
                    </w:rPr>
                    <w:t>3</w:t>
                  </w:r>
                </w:p>
              </w:tc>
              <w:tc>
                <w:tcPr>
                  <w:tcW w:w="1979" w:type="pct"/>
                  <w:tcBorders>
                    <w:top w:val="single" w:color="auto" w:sz="4" w:space="0"/>
                    <w:left w:val="single" w:color="auto" w:sz="4" w:space="0"/>
                    <w:bottom w:val="single" w:color="auto" w:sz="4" w:space="0"/>
                    <w:right w:val="single" w:color="auto" w:sz="4" w:space="0"/>
                  </w:tcBorders>
                  <w:vAlign w:val="center"/>
                </w:tcPr>
                <w:p w14:paraId="2ABC3F25">
                  <w:pPr>
                    <w:pStyle w:val="15"/>
                    <w:rPr>
                      <w:szCs w:val="21"/>
                    </w:rPr>
                  </w:pPr>
                  <w:r>
                    <w:t>90</w:t>
                  </w:r>
                  <w:r>
                    <w:rPr>
                      <w:rFonts w:hint="eastAsia"/>
                    </w:rPr>
                    <w:t>百分位数</w:t>
                  </w:r>
                  <w:r>
                    <w:t>8</w:t>
                  </w:r>
                  <w:r>
                    <w:rPr>
                      <w:rFonts w:hint="eastAsia"/>
                    </w:rPr>
                    <w:t>小时平均质量浓度</w:t>
                  </w:r>
                </w:p>
              </w:tc>
              <w:tc>
                <w:tcPr>
                  <w:tcW w:w="753" w:type="pct"/>
                  <w:tcBorders>
                    <w:top w:val="single" w:color="auto" w:sz="4" w:space="0"/>
                    <w:left w:val="single" w:color="auto" w:sz="4" w:space="0"/>
                    <w:bottom w:val="single" w:color="auto" w:sz="4" w:space="0"/>
                    <w:right w:val="single" w:color="auto" w:sz="4" w:space="0"/>
                  </w:tcBorders>
                  <w:vAlign w:val="center"/>
                </w:tcPr>
                <w:p w14:paraId="08F3FD77">
                  <w:pPr>
                    <w:pStyle w:val="15"/>
                    <w:rPr>
                      <w:szCs w:val="21"/>
                    </w:rPr>
                  </w:pPr>
                  <w:r>
                    <w:rPr>
                      <w:rFonts w:hint="eastAsia"/>
                    </w:rPr>
                    <w:t>128</w:t>
                  </w:r>
                </w:p>
              </w:tc>
              <w:tc>
                <w:tcPr>
                  <w:tcW w:w="680" w:type="pct"/>
                  <w:tcBorders>
                    <w:top w:val="single" w:color="auto" w:sz="4" w:space="0"/>
                    <w:left w:val="single" w:color="auto" w:sz="4" w:space="0"/>
                    <w:bottom w:val="single" w:color="auto" w:sz="4" w:space="0"/>
                    <w:right w:val="single" w:color="auto" w:sz="4" w:space="0"/>
                  </w:tcBorders>
                  <w:vAlign w:val="center"/>
                </w:tcPr>
                <w:p w14:paraId="612622A5">
                  <w:pPr>
                    <w:pStyle w:val="15"/>
                    <w:rPr>
                      <w:szCs w:val="21"/>
                    </w:rPr>
                  </w:pPr>
                  <w:r>
                    <w:t>160</w:t>
                  </w:r>
                </w:p>
              </w:tc>
              <w:tc>
                <w:tcPr>
                  <w:tcW w:w="555" w:type="pct"/>
                  <w:tcBorders>
                    <w:top w:val="single" w:color="auto" w:sz="4" w:space="0"/>
                    <w:left w:val="single" w:color="auto" w:sz="4" w:space="0"/>
                    <w:bottom w:val="single" w:color="auto" w:sz="4" w:space="0"/>
                    <w:right w:val="single" w:color="auto" w:sz="4" w:space="0"/>
                  </w:tcBorders>
                  <w:vAlign w:val="center"/>
                </w:tcPr>
                <w:p w14:paraId="7AA32391">
                  <w:pPr>
                    <w:pStyle w:val="15"/>
                    <w:rPr>
                      <w:szCs w:val="21"/>
                    </w:rPr>
                  </w:pPr>
                  <w:r>
                    <w:rPr>
                      <w:rFonts w:hint="eastAsia"/>
                      <w:szCs w:val="21"/>
                    </w:rPr>
                    <w:t>80</w:t>
                  </w:r>
                </w:p>
              </w:tc>
              <w:tc>
                <w:tcPr>
                  <w:tcW w:w="482" w:type="pct"/>
                  <w:tcBorders>
                    <w:top w:val="single" w:color="auto" w:sz="4" w:space="0"/>
                    <w:left w:val="single" w:color="auto" w:sz="4" w:space="0"/>
                    <w:bottom w:val="single" w:color="auto" w:sz="4" w:space="0"/>
                    <w:right w:val="single" w:color="auto" w:sz="4" w:space="0"/>
                  </w:tcBorders>
                  <w:vAlign w:val="center"/>
                </w:tcPr>
                <w:p w14:paraId="4731FA88">
                  <w:pPr>
                    <w:pStyle w:val="15"/>
                    <w:rPr>
                      <w:szCs w:val="21"/>
                    </w:rPr>
                  </w:pPr>
                  <w:r>
                    <w:rPr>
                      <w:rFonts w:hint="eastAsia"/>
                    </w:rPr>
                    <w:t>达标</w:t>
                  </w:r>
                </w:p>
              </w:tc>
            </w:tr>
            <w:tr w14:paraId="6091F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7" w:type="pct"/>
                  <w:tcBorders>
                    <w:top w:val="single" w:color="auto" w:sz="4" w:space="0"/>
                    <w:left w:val="single" w:color="auto" w:sz="4" w:space="0"/>
                    <w:bottom w:val="single" w:color="auto" w:sz="4" w:space="0"/>
                    <w:right w:val="single" w:color="auto" w:sz="4" w:space="0"/>
                  </w:tcBorders>
                  <w:vAlign w:val="center"/>
                </w:tcPr>
                <w:p w14:paraId="7E60DFE0">
                  <w:pPr>
                    <w:pStyle w:val="15"/>
                  </w:pPr>
                  <w:r>
                    <w:t>NO</w:t>
                  </w:r>
                  <w:r>
                    <w:rPr>
                      <w:vertAlign w:val="subscript"/>
                    </w:rPr>
                    <w:t>2</w:t>
                  </w:r>
                </w:p>
              </w:tc>
              <w:tc>
                <w:tcPr>
                  <w:tcW w:w="1979" w:type="pct"/>
                  <w:tcBorders>
                    <w:top w:val="single" w:color="auto" w:sz="4" w:space="0"/>
                    <w:left w:val="single" w:color="auto" w:sz="4" w:space="0"/>
                    <w:bottom w:val="single" w:color="auto" w:sz="4" w:space="0"/>
                    <w:right w:val="single" w:color="auto" w:sz="4" w:space="0"/>
                  </w:tcBorders>
                  <w:vAlign w:val="center"/>
                </w:tcPr>
                <w:p w14:paraId="40447124">
                  <w:pPr>
                    <w:pStyle w:val="15"/>
                  </w:pPr>
                  <w:r>
                    <w:rPr>
                      <w:rFonts w:hint="eastAsia"/>
                    </w:rPr>
                    <w:t>年平均质量浓度</w:t>
                  </w:r>
                </w:p>
              </w:tc>
              <w:tc>
                <w:tcPr>
                  <w:tcW w:w="753" w:type="pct"/>
                  <w:tcBorders>
                    <w:top w:val="single" w:color="auto" w:sz="4" w:space="0"/>
                    <w:left w:val="single" w:color="auto" w:sz="4" w:space="0"/>
                    <w:bottom w:val="single" w:color="auto" w:sz="4" w:space="0"/>
                    <w:right w:val="single" w:color="auto" w:sz="4" w:space="0"/>
                  </w:tcBorders>
                  <w:vAlign w:val="center"/>
                </w:tcPr>
                <w:p w14:paraId="47496C60">
                  <w:pPr>
                    <w:pStyle w:val="15"/>
                  </w:pPr>
                  <w:r>
                    <w:rPr>
                      <w:rFonts w:hint="eastAsia"/>
                    </w:rPr>
                    <w:t>18</w:t>
                  </w:r>
                </w:p>
              </w:tc>
              <w:tc>
                <w:tcPr>
                  <w:tcW w:w="680" w:type="pct"/>
                  <w:tcBorders>
                    <w:top w:val="single" w:color="auto" w:sz="4" w:space="0"/>
                    <w:left w:val="single" w:color="auto" w:sz="4" w:space="0"/>
                    <w:bottom w:val="single" w:color="auto" w:sz="4" w:space="0"/>
                    <w:right w:val="single" w:color="auto" w:sz="4" w:space="0"/>
                  </w:tcBorders>
                  <w:vAlign w:val="center"/>
                </w:tcPr>
                <w:p w14:paraId="676721A2">
                  <w:pPr>
                    <w:pStyle w:val="15"/>
                  </w:pPr>
                  <w:r>
                    <w:t>40</w:t>
                  </w:r>
                </w:p>
              </w:tc>
              <w:tc>
                <w:tcPr>
                  <w:tcW w:w="555" w:type="pct"/>
                  <w:tcBorders>
                    <w:top w:val="single" w:color="auto" w:sz="4" w:space="0"/>
                    <w:left w:val="single" w:color="auto" w:sz="4" w:space="0"/>
                    <w:bottom w:val="single" w:color="auto" w:sz="4" w:space="0"/>
                    <w:right w:val="single" w:color="auto" w:sz="4" w:space="0"/>
                  </w:tcBorders>
                  <w:vAlign w:val="center"/>
                </w:tcPr>
                <w:p w14:paraId="6EDC281E">
                  <w:pPr>
                    <w:pStyle w:val="15"/>
                  </w:pPr>
                  <w:r>
                    <w:rPr>
                      <w:rFonts w:hint="eastAsia"/>
                    </w:rPr>
                    <w:t>45</w:t>
                  </w:r>
                </w:p>
              </w:tc>
              <w:tc>
                <w:tcPr>
                  <w:tcW w:w="482" w:type="pct"/>
                  <w:tcBorders>
                    <w:top w:val="single" w:color="auto" w:sz="4" w:space="0"/>
                    <w:left w:val="single" w:color="auto" w:sz="4" w:space="0"/>
                    <w:bottom w:val="single" w:color="auto" w:sz="4" w:space="0"/>
                    <w:right w:val="single" w:color="auto" w:sz="4" w:space="0"/>
                  </w:tcBorders>
                  <w:vAlign w:val="center"/>
                </w:tcPr>
                <w:p w14:paraId="7018B441">
                  <w:pPr>
                    <w:pStyle w:val="15"/>
                  </w:pPr>
                  <w:r>
                    <w:rPr>
                      <w:rFonts w:hint="eastAsia"/>
                    </w:rPr>
                    <w:t>达标</w:t>
                  </w:r>
                </w:p>
              </w:tc>
            </w:tr>
            <w:tr w14:paraId="2502E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7" w:type="pct"/>
                  <w:tcBorders>
                    <w:top w:val="single" w:color="auto" w:sz="4" w:space="0"/>
                    <w:left w:val="single" w:color="auto" w:sz="4" w:space="0"/>
                    <w:bottom w:val="single" w:color="auto" w:sz="4" w:space="0"/>
                    <w:right w:val="single" w:color="auto" w:sz="4" w:space="0"/>
                  </w:tcBorders>
                  <w:vAlign w:val="center"/>
                </w:tcPr>
                <w:p w14:paraId="5D8312A4">
                  <w:pPr>
                    <w:pStyle w:val="15"/>
                    <w:rPr>
                      <w:szCs w:val="21"/>
                    </w:rPr>
                  </w:pPr>
                  <w:r>
                    <w:t>SO</w:t>
                  </w:r>
                  <w:r>
                    <w:rPr>
                      <w:vertAlign w:val="subscript"/>
                    </w:rPr>
                    <w:t>2</w:t>
                  </w:r>
                </w:p>
              </w:tc>
              <w:tc>
                <w:tcPr>
                  <w:tcW w:w="1979" w:type="pct"/>
                  <w:tcBorders>
                    <w:top w:val="single" w:color="auto" w:sz="4" w:space="0"/>
                    <w:left w:val="single" w:color="auto" w:sz="4" w:space="0"/>
                    <w:bottom w:val="single" w:color="auto" w:sz="4" w:space="0"/>
                    <w:right w:val="single" w:color="auto" w:sz="4" w:space="0"/>
                  </w:tcBorders>
                  <w:vAlign w:val="center"/>
                </w:tcPr>
                <w:p w14:paraId="44792A83">
                  <w:pPr>
                    <w:pStyle w:val="15"/>
                    <w:rPr>
                      <w:szCs w:val="21"/>
                    </w:rPr>
                  </w:pPr>
                  <w:r>
                    <w:rPr>
                      <w:rFonts w:hint="eastAsia"/>
                    </w:rPr>
                    <w:t>年平均质量浓度</w:t>
                  </w:r>
                </w:p>
              </w:tc>
              <w:tc>
                <w:tcPr>
                  <w:tcW w:w="753" w:type="pct"/>
                  <w:tcBorders>
                    <w:top w:val="single" w:color="auto" w:sz="4" w:space="0"/>
                    <w:left w:val="single" w:color="auto" w:sz="4" w:space="0"/>
                    <w:bottom w:val="single" w:color="auto" w:sz="4" w:space="0"/>
                    <w:right w:val="single" w:color="auto" w:sz="4" w:space="0"/>
                  </w:tcBorders>
                  <w:vAlign w:val="center"/>
                </w:tcPr>
                <w:p w14:paraId="50237056">
                  <w:pPr>
                    <w:pStyle w:val="15"/>
                    <w:rPr>
                      <w:szCs w:val="21"/>
                    </w:rPr>
                  </w:pPr>
                  <w:r>
                    <w:rPr>
                      <w:rFonts w:hint="eastAsia"/>
                    </w:rPr>
                    <w:t>5</w:t>
                  </w:r>
                </w:p>
              </w:tc>
              <w:tc>
                <w:tcPr>
                  <w:tcW w:w="680" w:type="pct"/>
                  <w:tcBorders>
                    <w:top w:val="single" w:color="auto" w:sz="4" w:space="0"/>
                    <w:left w:val="single" w:color="auto" w:sz="4" w:space="0"/>
                    <w:bottom w:val="single" w:color="auto" w:sz="4" w:space="0"/>
                    <w:right w:val="single" w:color="auto" w:sz="4" w:space="0"/>
                  </w:tcBorders>
                  <w:vAlign w:val="center"/>
                </w:tcPr>
                <w:p w14:paraId="0F2B21B2">
                  <w:pPr>
                    <w:pStyle w:val="15"/>
                    <w:rPr>
                      <w:szCs w:val="21"/>
                    </w:rPr>
                  </w:pPr>
                  <w:r>
                    <w:t>60</w:t>
                  </w:r>
                </w:p>
              </w:tc>
              <w:tc>
                <w:tcPr>
                  <w:tcW w:w="555" w:type="pct"/>
                  <w:tcBorders>
                    <w:top w:val="single" w:color="auto" w:sz="4" w:space="0"/>
                    <w:left w:val="single" w:color="auto" w:sz="4" w:space="0"/>
                    <w:bottom w:val="single" w:color="auto" w:sz="4" w:space="0"/>
                    <w:right w:val="single" w:color="auto" w:sz="4" w:space="0"/>
                  </w:tcBorders>
                  <w:vAlign w:val="center"/>
                </w:tcPr>
                <w:p w14:paraId="235EB2E0">
                  <w:pPr>
                    <w:pStyle w:val="15"/>
                    <w:rPr>
                      <w:szCs w:val="21"/>
                    </w:rPr>
                  </w:pPr>
                  <w:r>
                    <w:rPr>
                      <w:rFonts w:hint="eastAsia"/>
                    </w:rPr>
                    <w:t>8.3</w:t>
                  </w:r>
                </w:p>
              </w:tc>
              <w:tc>
                <w:tcPr>
                  <w:tcW w:w="482" w:type="pct"/>
                  <w:tcBorders>
                    <w:top w:val="single" w:color="auto" w:sz="4" w:space="0"/>
                    <w:left w:val="single" w:color="auto" w:sz="4" w:space="0"/>
                    <w:bottom w:val="single" w:color="auto" w:sz="4" w:space="0"/>
                    <w:right w:val="single" w:color="auto" w:sz="4" w:space="0"/>
                  </w:tcBorders>
                  <w:vAlign w:val="center"/>
                </w:tcPr>
                <w:p w14:paraId="13A0181E">
                  <w:pPr>
                    <w:pStyle w:val="15"/>
                  </w:pPr>
                  <w:r>
                    <w:rPr>
                      <w:rFonts w:hint="eastAsia"/>
                    </w:rPr>
                    <w:t>达标</w:t>
                  </w:r>
                </w:p>
              </w:tc>
            </w:tr>
            <w:tr w14:paraId="26F20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7" w:type="pct"/>
                  <w:tcBorders>
                    <w:top w:val="single" w:color="auto" w:sz="4" w:space="0"/>
                    <w:left w:val="single" w:color="auto" w:sz="4" w:space="0"/>
                    <w:bottom w:val="single" w:color="auto" w:sz="4" w:space="0"/>
                    <w:right w:val="single" w:color="auto" w:sz="4" w:space="0"/>
                  </w:tcBorders>
                  <w:vAlign w:val="center"/>
                </w:tcPr>
                <w:p w14:paraId="35518C37">
                  <w:pPr>
                    <w:pStyle w:val="15"/>
                  </w:pPr>
                  <w:r>
                    <w:t>CO</w:t>
                  </w:r>
                </w:p>
              </w:tc>
              <w:tc>
                <w:tcPr>
                  <w:tcW w:w="1979" w:type="pct"/>
                  <w:tcBorders>
                    <w:top w:val="single" w:color="auto" w:sz="4" w:space="0"/>
                    <w:left w:val="single" w:color="auto" w:sz="4" w:space="0"/>
                    <w:bottom w:val="single" w:color="auto" w:sz="4" w:space="0"/>
                    <w:right w:val="single" w:color="auto" w:sz="4" w:space="0"/>
                  </w:tcBorders>
                  <w:vAlign w:val="center"/>
                </w:tcPr>
                <w:p w14:paraId="197DC8FB">
                  <w:pPr>
                    <w:pStyle w:val="15"/>
                  </w:pPr>
                  <w:r>
                    <w:t>95</w:t>
                  </w:r>
                  <w:r>
                    <w:rPr>
                      <w:rFonts w:hint="eastAsia"/>
                    </w:rPr>
                    <w:t>百分位数日平均质量浓度</w:t>
                  </w:r>
                </w:p>
              </w:tc>
              <w:tc>
                <w:tcPr>
                  <w:tcW w:w="753" w:type="pct"/>
                  <w:tcBorders>
                    <w:top w:val="single" w:color="auto" w:sz="4" w:space="0"/>
                    <w:left w:val="single" w:color="auto" w:sz="4" w:space="0"/>
                    <w:bottom w:val="single" w:color="auto" w:sz="4" w:space="0"/>
                    <w:right w:val="single" w:color="auto" w:sz="4" w:space="0"/>
                  </w:tcBorders>
                  <w:vAlign w:val="center"/>
                </w:tcPr>
                <w:p w14:paraId="352A0AC6">
                  <w:pPr>
                    <w:pStyle w:val="15"/>
                  </w:pPr>
                  <w:r>
                    <w:rPr>
                      <w:rFonts w:hint="eastAsia"/>
                    </w:rPr>
                    <w:t>900</w:t>
                  </w:r>
                </w:p>
              </w:tc>
              <w:tc>
                <w:tcPr>
                  <w:tcW w:w="680" w:type="pct"/>
                  <w:tcBorders>
                    <w:top w:val="single" w:color="auto" w:sz="4" w:space="0"/>
                    <w:left w:val="single" w:color="auto" w:sz="4" w:space="0"/>
                    <w:bottom w:val="single" w:color="auto" w:sz="4" w:space="0"/>
                    <w:right w:val="single" w:color="auto" w:sz="4" w:space="0"/>
                  </w:tcBorders>
                  <w:vAlign w:val="center"/>
                </w:tcPr>
                <w:p w14:paraId="585457AF">
                  <w:pPr>
                    <w:pStyle w:val="15"/>
                  </w:pPr>
                  <w:r>
                    <w:t>4000</w:t>
                  </w:r>
                </w:p>
              </w:tc>
              <w:tc>
                <w:tcPr>
                  <w:tcW w:w="555" w:type="pct"/>
                  <w:tcBorders>
                    <w:top w:val="single" w:color="auto" w:sz="4" w:space="0"/>
                    <w:left w:val="single" w:color="auto" w:sz="4" w:space="0"/>
                    <w:bottom w:val="single" w:color="auto" w:sz="4" w:space="0"/>
                    <w:right w:val="single" w:color="auto" w:sz="4" w:space="0"/>
                  </w:tcBorders>
                  <w:vAlign w:val="center"/>
                </w:tcPr>
                <w:p w14:paraId="0F819EB9">
                  <w:pPr>
                    <w:pStyle w:val="15"/>
                  </w:pPr>
                  <w:r>
                    <w:rPr>
                      <w:rFonts w:hint="eastAsia"/>
                    </w:rPr>
                    <w:t>22.5</w:t>
                  </w:r>
                </w:p>
              </w:tc>
              <w:tc>
                <w:tcPr>
                  <w:tcW w:w="482" w:type="pct"/>
                  <w:tcBorders>
                    <w:top w:val="single" w:color="auto" w:sz="4" w:space="0"/>
                    <w:left w:val="single" w:color="auto" w:sz="4" w:space="0"/>
                    <w:bottom w:val="single" w:color="auto" w:sz="4" w:space="0"/>
                    <w:right w:val="single" w:color="auto" w:sz="4" w:space="0"/>
                  </w:tcBorders>
                  <w:vAlign w:val="center"/>
                </w:tcPr>
                <w:p w14:paraId="2B6BE4AB">
                  <w:pPr>
                    <w:pStyle w:val="15"/>
                  </w:pPr>
                  <w:r>
                    <w:rPr>
                      <w:rFonts w:hint="eastAsia"/>
                    </w:rPr>
                    <w:t>达标</w:t>
                  </w:r>
                </w:p>
              </w:tc>
            </w:tr>
          </w:tbl>
          <w:p w14:paraId="2C313F05">
            <w:pPr>
              <w:pStyle w:val="17"/>
              <w:ind w:firstLine="480"/>
            </w:pPr>
            <w:r>
              <w:rPr>
                <w:rFonts w:hint="eastAsia"/>
              </w:rPr>
              <w:t>由上表可知，岳阳县2023年PM</w:t>
            </w:r>
            <w:r>
              <w:rPr>
                <w:rFonts w:hint="eastAsia"/>
                <w:vertAlign w:val="subscript"/>
              </w:rPr>
              <w:t>2.5</w:t>
            </w:r>
            <w:r>
              <w:rPr>
                <w:rFonts w:hint="eastAsia"/>
              </w:rPr>
              <w:t>、PM</w:t>
            </w:r>
            <w:r>
              <w:rPr>
                <w:rFonts w:hint="eastAsia"/>
                <w:vertAlign w:val="subscript"/>
              </w:rPr>
              <w:t>10</w:t>
            </w:r>
            <w:r>
              <w:rPr>
                <w:rFonts w:hint="eastAsia"/>
              </w:rPr>
              <w:t>、O</w:t>
            </w:r>
            <w:r>
              <w:rPr>
                <w:rFonts w:hint="eastAsia"/>
                <w:vertAlign w:val="subscript"/>
              </w:rPr>
              <w:t>3</w:t>
            </w:r>
            <w:r>
              <w:rPr>
                <w:rFonts w:hint="eastAsia"/>
              </w:rPr>
              <w:t>、NO</w:t>
            </w:r>
            <w:r>
              <w:rPr>
                <w:rFonts w:hint="eastAsia"/>
                <w:vertAlign w:val="subscript"/>
              </w:rPr>
              <w:t>2</w:t>
            </w:r>
            <w:r>
              <w:rPr>
                <w:rFonts w:hint="eastAsia"/>
              </w:rPr>
              <w:t>、SO</w:t>
            </w:r>
            <w:r>
              <w:rPr>
                <w:rFonts w:hint="eastAsia"/>
                <w:vertAlign w:val="subscript"/>
              </w:rPr>
              <w:t>2</w:t>
            </w:r>
            <w:r>
              <w:rPr>
                <w:rFonts w:hint="eastAsia"/>
              </w:rPr>
              <w:t>、CO各项监测指标均能达到《环境空气质量标准》（GB3095-2012）及2018修改单中二级标准要求，项目所在区域为达标区。</w:t>
            </w:r>
          </w:p>
          <w:p w14:paraId="61F33222">
            <w:pPr>
              <w:pStyle w:val="16"/>
              <w:ind w:firstLine="482"/>
            </w:pPr>
            <w:r>
              <w:rPr>
                <w:rFonts w:hint="eastAsia"/>
              </w:rPr>
              <w:t>2、地表水环境质量现状</w:t>
            </w:r>
          </w:p>
          <w:p w14:paraId="42A25D0A">
            <w:pPr>
              <w:pStyle w:val="17"/>
              <w:ind w:firstLine="480"/>
            </w:pPr>
            <w:r>
              <w:rPr>
                <w:rFonts w:hint="eastAsia"/>
              </w:rPr>
              <w:t>为了解本项目所在地水环境质量现状，本次评价引用岳阳市生态环境局发布的《岳阳市2023年度生态环境质量公报》中“三、地表水环境（主要江河水质状况：新墙河水质总体为优，9个控制断面水质均达到或优于Ⅱ类”，因此，新墙河9个监测断面水质可满足《地表水环境质量标准》（GB3838-2002）中的Ⅱ类标准。</w:t>
            </w:r>
          </w:p>
          <w:p w14:paraId="23845133">
            <w:pPr>
              <w:pStyle w:val="16"/>
              <w:ind w:firstLine="482"/>
            </w:pPr>
            <w:r>
              <w:rPr>
                <w:rFonts w:hint="eastAsia"/>
              </w:rPr>
              <w:t>3、声环境质量现状</w:t>
            </w:r>
          </w:p>
          <w:p w14:paraId="2753EBEC">
            <w:pPr>
              <w:pStyle w:val="17"/>
              <w:ind w:firstLine="480"/>
            </w:pPr>
            <w:r>
              <w:rPr>
                <w:rFonts w:hint="eastAsia"/>
              </w:rPr>
              <w:t>根据《建设项目环境影响评价报告表编制技术指南（污染影响类）（试行）》，“厂界外周边50米范围内存在声环境保护目标的建设项目，应监测保护目标声环境质量现状并评价达标情况”。</w:t>
            </w:r>
          </w:p>
          <w:p w14:paraId="481038E1">
            <w:pPr>
              <w:pStyle w:val="17"/>
              <w:ind w:firstLine="480"/>
            </w:pPr>
            <w:r>
              <w:rPr>
                <w:rFonts w:hint="eastAsia"/>
              </w:rPr>
              <w:t>本项目厂界外50m范围无居民敏感点，因此本项目故无需进行声环境质量相关现状调查。</w:t>
            </w:r>
          </w:p>
          <w:p w14:paraId="7CEBEDC1">
            <w:pPr>
              <w:pStyle w:val="16"/>
              <w:ind w:firstLine="482"/>
            </w:pPr>
            <w:r>
              <w:rPr>
                <w:rFonts w:hint="eastAsia"/>
              </w:rPr>
              <w:t>4、地下水、土壤环境质量现状</w:t>
            </w:r>
          </w:p>
          <w:p w14:paraId="71B05D4C">
            <w:pPr>
              <w:pStyle w:val="17"/>
              <w:ind w:firstLine="480"/>
            </w:pPr>
            <w:r>
              <w:rPr>
                <w:rFonts w:hint="eastAsia"/>
              </w:rPr>
              <w:t>根据《建设项目环境影响报告表编制技术指南（污染影响类）》中提到的“原则上不开展环境质量现状调查。建设项目存在土壤、地下水环境污染途径的，应结合污染源、保护目标分布情况开展现状调查以留作背景值”。</w:t>
            </w:r>
          </w:p>
          <w:p w14:paraId="063C3407">
            <w:pPr>
              <w:pStyle w:val="17"/>
              <w:ind w:firstLine="480"/>
            </w:pPr>
            <w:r>
              <w:rPr>
                <w:rFonts w:hint="eastAsia"/>
              </w:rPr>
              <w:t>本项目租赁现有闲置空厂房，厂区地面已硬化，不存在地下水与土壤污染途径，故本项目不开展地下水、土壤环境现状调查。</w:t>
            </w:r>
          </w:p>
          <w:p w14:paraId="3C4C6B60">
            <w:pPr>
              <w:pStyle w:val="16"/>
              <w:ind w:firstLine="482"/>
            </w:pPr>
            <w:r>
              <w:rPr>
                <w:rFonts w:hint="eastAsia"/>
              </w:rPr>
              <w:t>5、生态环境质量现状</w:t>
            </w:r>
          </w:p>
          <w:p w14:paraId="3EFF1B60">
            <w:pPr>
              <w:pStyle w:val="17"/>
              <w:ind w:firstLine="480"/>
            </w:pPr>
            <w:r>
              <w:rPr>
                <w:rFonts w:hint="eastAsia"/>
              </w:rPr>
              <w:t>根据生态环境部办公厅2020年12月24日印发的《建设项目环境影响报告表编制技术指南（污染影响类）（试行）》中具体编制要求“产业园区外建设项目新增用地且用地范围内含有生态环境敏感目标时，应进行生态调查。”结合现场调查，本项目位于产业园区外，租赁湖南远发建筑工程有限公司（湘北现代商贸物流园）厂房，不新增土地，项目用地周边无生态环境敏感目标，故本项目不开展生态环境质量现状调查。</w:t>
            </w:r>
          </w:p>
        </w:tc>
      </w:tr>
      <w:tr w14:paraId="3B29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dxa"/>
            <w:vAlign w:val="center"/>
          </w:tcPr>
          <w:p w14:paraId="428B5C5E">
            <w:pPr>
              <w:ind w:firstLine="0" w:firstLineChars="0"/>
            </w:pPr>
            <w:r>
              <w:rPr>
                <w:rFonts w:hint="eastAsia"/>
              </w:rPr>
              <w:t>环境保护目标</w:t>
            </w:r>
          </w:p>
        </w:tc>
        <w:tc>
          <w:tcPr>
            <w:tcW w:w="8115" w:type="dxa"/>
          </w:tcPr>
          <w:p w14:paraId="5A853ACE">
            <w:pPr>
              <w:pStyle w:val="17"/>
              <w:ind w:firstLine="480"/>
            </w:pPr>
            <w:r>
              <w:rPr>
                <w:rFonts w:hint="eastAsia"/>
              </w:rPr>
              <w:t>根据《建设项目环境影响报告表编制技术指南（污染影响类）》对环境保护目标的要求，大气环境调查范围为500m，声环境调查范围为50m。根据对区域的现场踏勘调查，项目区域内无自然保护区、水源保护区、珍稀动植物保护物种、无历史文物古迹等需要特殊保护的环境敏感点。具体环境保护目标详见下表3-2。</w:t>
            </w:r>
          </w:p>
          <w:p w14:paraId="1D6E6FF8">
            <w:pPr>
              <w:pStyle w:val="18"/>
            </w:pPr>
            <w:r>
              <w:t>表3-</w:t>
            </w:r>
            <w:r>
              <w:rPr>
                <w:rFonts w:hint="eastAsia"/>
              </w:rPr>
              <w:t xml:space="preserve">2 </w:t>
            </w:r>
            <w:r>
              <w:t>评价范围内主要环境空气保护目标</w:t>
            </w:r>
          </w:p>
          <w:tbl>
            <w:tblPr>
              <w:tblStyle w:val="12"/>
              <w:tblW w:w="5000"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
              <w:gridCol w:w="1576"/>
              <w:gridCol w:w="1438"/>
              <w:gridCol w:w="641"/>
              <w:gridCol w:w="727"/>
              <w:gridCol w:w="904"/>
              <w:gridCol w:w="641"/>
              <w:gridCol w:w="1051"/>
            </w:tblGrid>
            <w:tr w14:paraId="165F1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restart"/>
                  <w:tcBorders>
                    <w:tl2br w:val="nil"/>
                    <w:tr2bl w:val="nil"/>
                  </w:tcBorders>
                  <w:vAlign w:val="center"/>
                </w:tcPr>
                <w:p w14:paraId="5EC4A8E2">
                  <w:pPr>
                    <w:pStyle w:val="15"/>
                  </w:pPr>
                  <w:r>
                    <w:t>名称</w:t>
                  </w:r>
                </w:p>
              </w:tc>
              <w:tc>
                <w:tcPr>
                  <w:tcW w:w="1909" w:type="pct"/>
                  <w:gridSpan w:val="2"/>
                  <w:tcBorders>
                    <w:tl2br w:val="nil"/>
                    <w:tr2bl w:val="nil"/>
                  </w:tcBorders>
                  <w:vAlign w:val="center"/>
                </w:tcPr>
                <w:p w14:paraId="44B99814">
                  <w:pPr>
                    <w:pStyle w:val="15"/>
                  </w:pPr>
                  <w:r>
                    <w:t>坐标</w:t>
                  </w:r>
                </w:p>
              </w:tc>
              <w:tc>
                <w:tcPr>
                  <w:tcW w:w="406" w:type="pct"/>
                  <w:vMerge w:val="restart"/>
                  <w:tcBorders>
                    <w:tl2br w:val="nil"/>
                    <w:tr2bl w:val="nil"/>
                  </w:tcBorders>
                  <w:vAlign w:val="center"/>
                </w:tcPr>
                <w:p w14:paraId="6E03D568">
                  <w:pPr>
                    <w:pStyle w:val="15"/>
                  </w:pPr>
                  <w:r>
                    <w:t>保护对象</w:t>
                  </w:r>
                </w:p>
              </w:tc>
              <w:tc>
                <w:tcPr>
                  <w:tcW w:w="461" w:type="pct"/>
                  <w:vMerge w:val="restart"/>
                  <w:tcBorders>
                    <w:tl2br w:val="nil"/>
                    <w:tr2bl w:val="nil"/>
                  </w:tcBorders>
                  <w:vAlign w:val="center"/>
                </w:tcPr>
                <w:p w14:paraId="271BAFF3">
                  <w:pPr>
                    <w:pStyle w:val="15"/>
                  </w:pPr>
                  <w:r>
                    <w:t>保护内容</w:t>
                  </w:r>
                </w:p>
              </w:tc>
              <w:tc>
                <w:tcPr>
                  <w:tcW w:w="573" w:type="pct"/>
                  <w:vMerge w:val="restart"/>
                  <w:tcBorders>
                    <w:tl2br w:val="nil"/>
                    <w:tr2bl w:val="nil"/>
                  </w:tcBorders>
                  <w:vAlign w:val="center"/>
                </w:tcPr>
                <w:p w14:paraId="7BF79D71">
                  <w:pPr>
                    <w:pStyle w:val="15"/>
                  </w:pPr>
                  <w:r>
                    <w:t>环境功能区</w:t>
                  </w:r>
                </w:p>
              </w:tc>
              <w:tc>
                <w:tcPr>
                  <w:tcW w:w="406" w:type="pct"/>
                  <w:vMerge w:val="restart"/>
                  <w:tcBorders>
                    <w:tl2br w:val="nil"/>
                    <w:tr2bl w:val="nil"/>
                  </w:tcBorders>
                  <w:vAlign w:val="center"/>
                </w:tcPr>
                <w:p w14:paraId="6E43C2CE">
                  <w:pPr>
                    <w:pStyle w:val="15"/>
                  </w:pPr>
                  <w:r>
                    <w:t>相对厂址方位</w:t>
                  </w:r>
                </w:p>
              </w:tc>
              <w:tc>
                <w:tcPr>
                  <w:tcW w:w="666" w:type="pct"/>
                  <w:vMerge w:val="restart"/>
                  <w:tcBorders>
                    <w:tl2br w:val="nil"/>
                    <w:tr2bl w:val="nil"/>
                  </w:tcBorders>
                  <w:vAlign w:val="center"/>
                </w:tcPr>
                <w:p w14:paraId="532ED501">
                  <w:pPr>
                    <w:pStyle w:val="15"/>
                  </w:pPr>
                  <w:r>
                    <w:t>相对厂界最近距离/m</w:t>
                  </w:r>
                </w:p>
              </w:tc>
            </w:tr>
            <w:tr w14:paraId="3FC28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vMerge w:val="continue"/>
                  <w:tcBorders>
                    <w:tl2br w:val="nil"/>
                    <w:tr2bl w:val="nil"/>
                  </w:tcBorders>
                  <w:vAlign w:val="center"/>
                </w:tcPr>
                <w:p w14:paraId="775F6BFB">
                  <w:pPr>
                    <w:pStyle w:val="15"/>
                  </w:pPr>
                </w:p>
              </w:tc>
              <w:tc>
                <w:tcPr>
                  <w:tcW w:w="998" w:type="pct"/>
                  <w:tcBorders>
                    <w:tl2br w:val="nil"/>
                    <w:tr2bl w:val="nil"/>
                  </w:tcBorders>
                  <w:vAlign w:val="center"/>
                </w:tcPr>
                <w:p w14:paraId="62ACCDFB">
                  <w:pPr>
                    <w:pStyle w:val="15"/>
                  </w:pPr>
                  <w:r>
                    <w:t>经度</w:t>
                  </w:r>
                </w:p>
              </w:tc>
              <w:tc>
                <w:tcPr>
                  <w:tcW w:w="910" w:type="pct"/>
                  <w:tcBorders>
                    <w:tl2br w:val="nil"/>
                    <w:tr2bl w:val="nil"/>
                  </w:tcBorders>
                  <w:vAlign w:val="center"/>
                </w:tcPr>
                <w:p w14:paraId="39C9B6CC">
                  <w:pPr>
                    <w:pStyle w:val="15"/>
                  </w:pPr>
                  <w:r>
                    <w:t>纬度</w:t>
                  </w:r>
                </w:p>
              </w:tc>
              <w:tc>
                <w:tcPr>
                  <w:tcW w:w="406" w:type="pct"/>
                  <w:vMerge w:val="continue"/>
                  <w:tcBorders>
                    <w:tl2br w:val="nil"/>
                    <w:tr2bl w:val="nil"/>
                  </w:tcBorders>
                  <w:vAlign w:val="center"/>
                </w:tcPr>
                <w:p w14:paraId="75C87934">
                  <w:pPr>
                    <w:pStyle w:val="15"/>
                  </w:pPr>
                </w:p>
              </w:tc>
              <w:tc>
                <w:tcPr>
                  <w:tcW w:w="461" w:type="pct"/>
                  <w:vMerge w:val="continue"/>
                  <w:tcBorders>
                    <w:tl2br w:val="nil"/>
                    <w:tr2bl w:val="nil"/>
                  </w:tcBorders>
                  <w:vAlign w:val="center"/>
                </w:tcPr>
                <w:p w14:paraId="43CDD577">
                  <w:pPr>
                    <w:pStyle w:val="15"/>
                  </w:pPr>
                </w:p>
              </w:tc>
              <w:tc>
                <w:tcPr>
                  <w:tcW w:w="573" w:type="pct"/>
                  <w:vMerge w:val="continue"/>
                  <w:tcBorders>
                    <w:tl2br w:val="nil"/>
                    <w:tr2bl w:val="nil"/>
                  </w:tcBorders>
                  <w:vAlign w:val="center"/>
                </w:tcPr>
                <w:p w14:paraId="10C08FC7">
                  <w:pPr>
                    <w:pStyle w:val="15"/>
                  </w:pPr>
                </w:p>
              </w:tc>
              <w:tc>
                <w:tcPr>
                  <w:tcW w:w="406" w:type="pct"/>
                  <w:vMerge w:val="continue"/>
                  <w:tcBorders>
                    <w:tl2br w:val="nil"/>
                    <w:tr2bl w:val="nil"/>
                  </w:tcBorders>
                  <w:vAlign w:val="center"/>
                </w:tcPr>
                <w:p w14:paraId="77C5E890">
                  <w:pPr>
                    <w:pStyle w:val="15"/>
                  </w:pPr>
                </w:p>
              </w:tc>
              <w:tc>
                <w:tcPr>
                  <w:tcW w:w="666" w:type="pct"/>
                  <w:vMerge w:val="continue"/>
                  <w:tcBorders>
                    <w:tl2br w:val="nil"/>
                    <w:tr2bl w:val="nil"/>
                  </w:tcBorders>
                  <w:vAlign w:val="center"/>
                </w:tcPr>
                <w:p w14:paraId="7CE95D34">
                  <w:pPr>
                    <w:pStyle w:val="15"/>
                  </w:pPr>
                </w:p>
              </w:tc>
            </w:tr>
            <w:tr w14:paraId="0DB3C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tcBorders>
                    <w:tl2br w:val="nil"/>
                    <w:tr2bl w:val="nil"/>
                  </w:tcBorders>
                  <w:vAlign w:val="center"/>
                </w:tcPr>
                <w:p w14:paraId="08A3AC7C">
                  <w:pPr>
                    <w:pStyle w:val="15"/>
                  </w:pPr>
                  <w:r>
                    <w:rPr>
                      <w:rFonts w:hint="eastAsia"/>
                    </w:rPr>
                    <w:t>胡家村</w:t>
                  </w:r>
                </w:p>
              </w:tc>
              <w:tc>
                <w:tcPr>
                  <w:tcW w:w="998" w:type="pct"/>
                  <w:tcBorders>
                    <w:tl2br w:val="nil"/>
                    <w:tr2bl w:val="nil"/>
                  </w:tcBorders>
                  <w:vAlign w:val="center"/>
                </w:tcPr>
                <w:p w14:paraId="5E035023">
                  <w:pPr>
                    <w:pStyle w:val="15"/>
                  </w:pPr>
                  <w:r>
                    <w:t>113.091950524</w:t>
                  </w:r>
                </w:p>
              </w:tc>
              <w:tc>
                <w:tcPr>
                  <w:tcW w:w="910" w:type="pct"/>
                  <w:tcBorders>
                    <w:tl2br w:val="nil"/>
                    <w:tr2bl w:val="nil"/>
                  </w:tcBorders>
                  <w:vAlign w:val="center"/>
                </w:tcPr>
                <w:p w14:paraId="18367B50">
                  <w:pPr>
                    <w:pStyle w:val="15"/>
                  </w:pPr>
                  <w:r>
                    <w:t>29.164315034</w:t>
                  </w:r>
                </w:p>
              </w:tc>
              <w:tc>
                <w:tcPr>
                  <w:tcW w:w="406" w:type="pct"/>
                  <w:tcBorders>
                    <w:tl2br w:val="nil"/>
                    <w:tr2bl w:val="nil"/>
                  </w:tcBorders>
                  <w:vAlign w:val="center"/>
                </w:tcPr>
                <w:p w14:paraId="41EA34AD">
                  <w:pPr>
                    <w:pStyle w:val="15"/>
                  </w:pPr>
                  <w:r>
                    <w:t>居民</w:t>
                  </w:r>
                </w:p>
              </w:tc>
              <w:tc>
                <w:tcPr>
                  <w:tcW w:w="461" w:type="pct"/>
                  <w:tcBorders>
                    <w:tl2br w:val="nil"/>
                    <w:tr2bl w:val="nil"/>
                  </w:tcBorders>
                  <w:vAlign w:val="center"/>
                </w:tcPr>
                <w:p w14:paraId="69139D55">
                  <w:pPr>
                    <w:pStyle w:val="15"/>
                  </w:pPr>
                  <w:r>
                    <w:rPr>
                      <w:rFonts w:hint="eastAsia"/>
                    </w:rPr>
                    <w:t>80</w:t>
                  </w:r>
                  <w:r>
                    <w:t>户左右</w:t>
                  </w:r>
                </w:p>
              </w:tc>
              <w:tc>
                <w:tcPr>
                  <w:tcW w:w="573" w:type="pct"/>
                  <w:tcBorders>
                    <w:tl2br w:val="nil"/>
                    <w:tr2bl w:val="nil"/>
                  </w:tcBorders>
                  <w:vAlign w:val="center"/>
                </w:tcPr>
                <w:p w14:paraId="77865235">
                  <w:pPr>
                    <w:pStyle w:val="15"/>
                  </w:pPr>
                  <w:r>
                    <w:t>二类区</w:t>
                  </w:r>
                </w:p>
              </w:tc>
              <w:tc>
                <w:tcPr>
                  <w:tcW w:w="406" w:type="pct"/>
                  <w:tcBorders>
                    <w:tl2br w:val="nil"/>
                    <w:tr2bl w:val="nil"/>
                  </w:tcBorders>
                  <w:vAlign w:val="center"/>
                </w:tcPr>
                <w:p w14:paraId="524AC0CF">
                  <w:pPr>
                    <w:pStyle w:val="15"/>
                  </w:pPr>
                  <w:r>
                    <w:rPr>
                      <w:rFonts w:hint="eastAsia"/>
                    </w:rPr>
                    <w:t>东</w:t>
                  </w:r>
                  <w:r>
                    <w:t>北</w:t>
                  </w:r>
                </w:p>
              </w:tc>
              <w:tc>
                <w:tcPr>
                  <w:tcW w:w="666" w:type="pct"/>
                  <w:tcBorders>
                    <w:tl2br w:val="nil"/>
                    <w:tr2bl w:val="nil"/>
                  </w:tcBorders>
                  <w:vAlign w:val="center"/>
                </w:tcPr>
                <w:p w14:paraId="47926FA9">
                  <w:pPr>
                    <w:pStyle w:val="15"/>
                  </w:pPr>
                  <w:r>
                    <w:rPr>
                      <w:rFonts w:hint="eastAsia"/>
                    </w:rPr>
                    <w:t>180</w:t>
                  </w:r>
                </w:p>
              </w:tc>
            </w:tr>
            <w:tr w14:paraId="3D3F0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7" w:type="pct"/>
                  <w:tcBorders>
                    <w:tl2br w:val="nil"/>
                    <w:tr2bl w:val="nil"/>
                  </w:tcBorders>
                  <w:vAlign w:val="center"/>
                </w:tcPr>
                <w:p w14:paraId="5968E70B">
                  <w:pPr>
                    <w:pStyle w:val="15"/>
                  </w:pPr>
                  <w:r>
                    <w:rPr>
                      <w:rFonts w:hint="eastAsia"/>
                    </w:rPr>
                    <w:t>茅栗铺</w:t>
                  </w:r>
                </w:p>
              </w:tc>
              <w:tc>
                <w:tcPr>
                  <w:tcW w:w="998" w:type="pct"/>
                  <w:tcBorders>
                    <w:tl2br w:val="nil"/>
                    <w:tr2bl w:val="nil"/>
                  </w:tcBorders>
                  <w:vAlign w:val="center"/>
                </w:tcPr>
                <w:p w14:paraId="7065CB5B">
                  <w:pPr>
                    <w:pStyle w:val="15"/>
                  </w:pPr>
                  <w:r>
                    <w:t>113.091340268</w:t>
                  </w:r>
                </w:p>
              </w:tc>
              <w:tc>
                <w:tcPr>
                  <w:tcW w:w="910" w:type="pct"/>
                  <w:tcBorders>
                    <w:tl2br w:val="nil"/>
                    <w:tr2bl w:val="nil"/>
                  </w:tcBorders>
                  <w:vAlign w:val="center"/>
                </w:tcPr>
                <w:p w14:paraId="3B5DDEEC">
                  <w:pPr>
                    <w:pStyle w:val="15"/>
                  </w:pPr>
                  <w:r>
                    <w:t>29.162719871</w:t>
                  </w:r>
                </w:p>
              </w:tc>
              <w:tc>
                <w:tcPr>
                  <w:tcW w:w="406" w:type="pct"/>
                  <w:tcBorders>
                    <w:tl2br w:val="nil"/>
                    <w:tr2bl w:val="nil"/>
                  </w:tcBorders>
                  <w:vAlign w:val="center"/>
                </w:tcPr>
                <w:p w14:paraId="03A71D76">
                  <w:pPr>
                    <w:pStyle w:val="15"/>
                  </w:pPr>
                  <w:r>
                    <w:t>居民</w:t>
                  </w:r>
                </w:p>
              </w:tc>
              <w:tc>
                <w:tcPr>
                  <w:tcW w:w="461" w:type="pct"/>
                  <w:tcBorders>
                    <w:tl2br w:val="nil"/>
                    <w:tr2bl w:val="nil"/>
                  </w:tcBorders>
                  <w:vAlign w:val="center"/>
                </w:tcPr>
                <w:p w14:paraId="771AE3CD">
                  <w:pPr>
                    <w:pStyle w:val="15"/>
                  </w:pPr>
                  <w:r>
                    <w:rPr>
                      <w:rFonts w:hint="eastAsia"/>
                    </w:rPr>
                    <w:t>20</w:t>
                  </w:r>
                  <w:r>
                    <w:t>户左右</w:t>
                  </w:r>
                </w:p>
              </w:tc>
              <w:tc>
                <w:tcPr>
                  <w:tcW w:w="573" w:type="pct"/>
                  <w:tcBorders>
                    <w:tl2br w:val="nil"/>
                    <w:tr2bl w:val="nil"/>
                  </w:tcBorders>
                  <w:vAlign w:val="center"/>
                </w:tcPr>
                <w:p w14:paraId="7EBDB397">
                  <w:pPr>
                    <w:pStyle w:val="15"/>
                  </w:pPr>
                  <w:r>
                    <w:t>二类区</w:t>
                  </w:r>
                </w:p>
              </w:tc>
              <w:tc>
                <w:tcPr>
                  <w:tcW w:w="406" w:type="pct"/>
                  <w:tcBorders>
                    <w:tl2br w:val="nil"/>
                    <w:tr2bl w:val="nil"/>
                  </w:tcBorders>
                  <w:vAlign w:val="center"/>
                </w:tcPr>
                <w:p w14:paraId="4E7BB121">
                  <w:pPr>
                    <w:pStyle w:val="15"/>
                  </w:pPr>
                  <w:r>
                    <w:rPr>
                      <w:rFonts w:hint="eastAsia"/>
                    </w:rPr>
                    <w:t>南</w:t>
                  </w:r>
                </w:p>
              </w:tc>
              <w:tc>
                <w:tcPr>
                  <w:tcW w:w="666" w:type="pct"/>
                  <w:tcBorders>
                    <w:tl2br w:val="nil"/>
                    <w:tr2bl w:val="nil"/>
                  </w:tcBorders>
                  <w:vAlign w:val="center"/>
                </w:tcPr>
                <w:p w14:paraId="0461A526">
                  <w:pPr>
                    <w:pStyle w:val="15"/>
                  </w:pPr>
                  <w:r>
                    <w:rPr>
                      <w:rFonts w:hint="eastAsia"/>
                    </w:rPr>
                    <w:t>300</w:t>
                  </w:r>
                </w:p>
              </w:tc>
            </w:tr>
          </w:tbl>
          <w:p w14:paraId="2E7825E9">
            <w:pPr>
              <w:pStyle w:val="17"/>
              <w:ind w:firstLine="480"/>
            </w:pPr>
          </w:p>
        </w:tc>
      </w:tr>
      <w:tr w14:paraId="08166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dxa"/>
            <w:vAlign w:val="center"/>
          </w:tcPr>
          <w:p w14:paraId="177CBA3F">
            <w:pPr>
              <w:ind w:firstLine="0" w:firstLineChars="0"/>
              <w:jc w:val="center"/>
            </w:pPr>
          </w:p>
          <w:p w14:paraId="148C6266">
            <w:pPr>
              <w:ind w:firstLine="0" w:firstLineChars="0"/>
              <w:jc w:val="center"/>
            </w:pPr>
          </w:p>
          <w:p w14:paraId="3EC0899E">
            <w:pPr>
              <w:ind w:firstLine="0" w:firstLineChars="0"/>
              <w:jc w:val="center"/>
            </w:pPr>
          </w:p>
          <w:p w14:paraId="7824841B">
            <w:pPr>
              <w:ind w:firstLine="0" w:firstLineChars="0"/>
              <w:jc w:val="center"/>
            </w:pPr>
          </w:p>
          <w:p w14:paraId="55D97AE2">
            <w:pPr>
              <w:ind w:firstLine="0" w:firstLineChars="0"/>
              <w:jc w:val="center"/>
            </w:pPr>
            <w:r>
              <w:rPr>
                <w:rFonts w:hint="eastAsia"/>
              </w:rPr>
              <w:t>污染物排放控制标准</w:t>
            </w:r>
          </w:p>
        </w:tc>
        <w:tc>
          <w:tcPr>
            <w:tcW w:w="8115" w:type="dxa"/>
          </w:tcPr>
          <w:p w14:paraId="6CEC974B">
            <w:pPr>
              <w:pStyle w:val="16"/>
              <w:ind w:firstLine="482"/>
            </w:pPr>
            <w:r>
              <w:rPr>
                <w:rFonts w:hint="eastAsia"/>
              </w:rPr>
              <w:t>1、废气排放标准</w:t>
            </w:r>
          </w:p>
          <w:p w14:paraId="4978E379">
            <w:pPr>
              <w:pStyle w:val="17"/>
              <w:ind w:firstLine="480"/>
            </w:pPr>
            <w:r>
              <w:rPr>
                <w:rFonts w:hint="eastAsia"/>
              </w:rPr>
              <w:t>锅炉废气</w:t>
            </w:r>
            <w:r>
              <w:t>执行《锅炉大气污染排放标准》（GB13271-2014）表3</w:t>
            </w:r>
            <w:r>
              <w:rPr>
                <w:rFonts w:hint="eastAsia"/>
              </w:rPr>
              <w:t>燃煤锅炉特别</w:t>
            </w:r>
            <w:r>
              <w:t>排放限值</w:t>
            </w:r>
            <w:r>
              <w:rPr>
                <w:rFonts w:hint="eastAsia"/>
              </w:rPr>
              <w:t>；恶臭执行《恶臭污染物排放标准》（GB14554-93）二级新扩改建标准。</w:t>
            </w:r>
          </w:p>
          <w:p w14:paraId="7D15EB45">
            <w:pPr>
              <w:pStyle w:val="18"/>
            </w:pPr>
            <w:r>
              <w:t>表3-</w:t>
            </w:r>
            <w:r>
              <w:rPr>
                <w:rFonts w:hint="eastAsia"/>
              </w:rPr>
              <w:t>3</w:t>
            </w:r>
            <w:r>
              <w:t xml:space="preserve"> 《锅炉大气污染排放标准》（GB13271-2014）</w:t>
            </w:r>
          </w:p>
          <w:tbl>
            <w:tblPr>
              <w:tblStyle w:val="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6"/>
              <w:gridCol w:w="2223"/>
              <w:gridCol w:w="2437"/>
            </w:tblGrid>
            <w:tr w14:paraId="1B205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5" w:type="pct"/>
                  <w:vAlign w:val="center"/>
                </w:tcPr>
                <w:p w14:paraId="2A1B561B">
                  <w:pPr>
                    <w:pStyle w:val="15"/>
                  </w:pPr>
                  <w:r>
                    <w:t>污染物项目</w:t>
                  </w:r>
                </w:p>
              </w:tc>
              <w:tc>
                <w:tcPr>
                  <w:tcW w:w="1409" w:type="pct"/>
                  <w:vAlign w:val="center"/>
                </w:tcPr>
                <w:p w14:paraId="24829083">
                  <w:pPr>
                    <w:pStyle w:val="15"/>
                  </w:pPr>
                  <w:r>
                    <w:t>限值（mg/m</w:t>
                  </w:r>
                  <w:r>
                    <w:rPr>
                      <w:vertAlign w:val="superscript"/>
                    </w:rPr>
                    <w:t>3</w:t>
                  </w:r>
                  <w:r>
                    <w:t>）</w:t>
                  </w:r>
                </w:p>
              </w:tc>
              <w:tc>
                <w:tcPr>
                  <w:tcW w:w="1544" w:type="pct"/>
                  <w:vAlign w:val="center"/>
                </w:tcPr>
                <w:p w14:paraId="03F81FB3">
                  <w:pPr>
                    <w:pStyle w:val="15"/>
                  </w:pPr>
                  <w:r>
                    <w:t>无组织排放监控位置</w:t>
                  </w:r>
                </w:p>
              </w:tc>
            </w:tr>
            <w:tr w14:paraId="4EB4E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5" w:type="pct"/>
                  <w:vAlign w:val="center"/>
                </w:tcPr>
                <w:p w14:paraId="72802DB1">
                  <w:pPr>
                    <w:pStyle w:val="15"/>
                  </w:pPr>
                  <w:r>
                    <w:rPr>
                      <w:rFonts w:hint="eastAsia"/>
                    </w:rPr>
                    <w:t>颗粒物</w:t>
                  </w:r>
                </w:p>
              </w:tc>
              <w:tc>
                <w:tcPr>
                  <w:tcW w:w="1409" w:type="pct"/>
                  <w:vAlign w:val="center"/>
                </w:tcPr>
                <w:p w14:paraId="04843099">
                  <w:pPr>
                    <w:pStyle w:val="15"/>
                  </w:pPr>
                  <w:r>
                    <w:rPr>
                      <w:rFonts w:hint="eastAsia"/>
                    </w:rPr>
                    <w:t>30</w:t>
                  </w:r>
                </w:p>
              </w:tc>
              <w:tc>
                <w:tcPr>
                  <w:tcW w:w="1544" w:type="pct"/>
                  <w:vMerge w:val="restart"/>
                  <w:vAlign w:val="center"/>
                </w:tcPr>
                <w:p w14:paraId="0AAC3D96">
                  <w:pPr>
                    <w:pStyle w:val="15"/>
                  </w:pPr>
                  <w:r>
                    <w:t>烟囱或烟道</w:t>
                  </w:r>
                </w:p>
              </w:tc>
            </w:tr>
            <w:tr w14:paraId="58092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5" w:type="pct"/>
                  <w:vAlign w:val="center"/>
                </w:tcPr>
                <w:p w14:paraId="47FC5B97">
                  <w:pPr>
                    <w:pStyle w:val="15"/>
                  </w:pPr>
                  <w:r>
                    <w:rPr>
                      <w:rFonts w:hint="eastAsia"/>
                    </w:rPr>
                    <w:t>二氧化硫</w:t>
                  </w:r>
                </w:p>
              </w:tc>
              <w:tc>
                <w:tcPr>
                  <w:tcW w:w="1409" w:type="pct"/>
                  <w:vAlign w:val="center"/>
                </w:tcPr>
                <w:p w14:paraId="729CC1F0">
                  <w:pPr>
                    <w:pStyle w:val="15"/>
                  </w:pPr>
                  <w:r>
                    <w:rPr>
                      <w:rFonts w:hint="eastAsia"/>
                    </w:rPr>
                    <w:t>200</w:t>
                  </w:r>
                </w:p>
              </w:tc>
              <w:tc>
                <w:tcPr>
                  <w:tcW w:w="1544" w:type="pct"/>
                  <w:vMerge w:val="continue"/>
                  <w:vAlign w:val="center"/>
                </w:tcPr>
                <w:p w14:paraId="023AAB3D">
                  <w:pPr>
                    <w:pStyle w:val="15"/>
                  </w:pPr>
                </w:p>
              </w:tc>
            </w:tr>
            <w:tr w14:paraId="6ACD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5" w:type="pct"/>
                  <w:vAlign w:val="center"/>
                </w:tcPr>
                <w:p w14:paraId="2046050C">
                  <w:pPr>
                    <w:pStyle w:val="15"/>
                  </w:pPr>
                  <w:r>
                    <w:rPr>
                      <w:rFonts w:hint="eastAsia"/>
                    </w:rPr>
                    <w:t>氮氧化物</w:t>
                  </w:r>
                </w:p>
              </w:tc>
              <w:tc>
                <w:tcPr>
                  <w:tcW w:w="1409" w:type="pct"/>
                  <w:vAlign w:val="center"/>
                </w:tcPr>
                <w:p w14:paraId="3FD3F520">
                  <w:pPr>
                    <w:pStyle w:val="15"/>
                  </w:pPr>
                  <w:r>
                    <w:rPr>
                      <w:rFonts w:hint="eastAsia"/>
                    </w:rPr>
                    <w:t>200</w:t>
                  </w:r>
                </w:p>
              </w:tc>
              <w:tc>
                <w:tcPr>
                  <w:tcW w:w="1544" w:type="pct"/>
                  <w:vMerge w:val="continue"/>
                  <w:vAlign w:val="center"/>
                </w:tcPr>
                <w:p w14:paraId="0274211B">
                  <w:pPr>
                    <w:pStyle w:val="15"/>
                  </w:pPr>
                </w:p>
              </w:tc>
            </w:tr>
            <w:tr w14:paraId="4E62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5" w:type="pct"/>
                  <w:vAlign w:val="center"/>
                </w:tcPr>
                <w:p w14:paraId="2B2F7F06">
                  <w:pPr>
                    <w:pStyle w:val="15"/>
                  </w:pPr>
                  <w:r>
                    <w:rPr>
                      <w:rFonts w:hint="eastAsia"/>
                    </w:rPr>
                    <w:t>汞及其化合物</w:t>
                  </w:r>
                </w:p>
              </w:tc>
              <w:tc>
                <w:tcPr>
                  <w:tcW w:w="1409" w:type="pct"/>
                  <w:vAlign w:val="center"/>
                </w:tcPr>
                <w:p w14:paraId="1F89C072">
                  <w:pPr>
                    <w:pStyle w:val="15"/>
                  </w:pPr>
                  <w:r>
                    <w:rPr>
                      <w:rFonts w:hint="eastAsia"/>
                    </w:rPr>
                    <w:t>0.05</w:t>
                  </w:r>
                </w:p>
              </w:tc>
              <w:tc>
                <w:tcPr>
                  <w:tcW w:w="1544" w:type="pct"/>
                  <w:vMerge w:val="continue"/>
                  <w:vAlign w:val="center"/>
                </w:tcPr>
                <w:p w14:paraId="572E3363">
                  <w:pPr>
                    <w:pStyle w:val="15"/>
                  </w:pPr>
                </w:p>
              </w:tc>
            </w:tr>
            <w:tr w14:paraId="3DEA6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5" w:type="pct"/>
                  <w:vAlign w:val="center"/>
                </w:tcPr>
                <w:p w14:paraId="037B3284">
                  <w:pPr>
                    <w:pStyle w:val="15"/>
                  </w:pPr>
                  <w:r>
                    <w:rPr>
                      <w:rFonts w:hint="eastAsia"/>
                    </w:rPr>
                    <w:t>烟气黑度（林格曼黑度，级）</w:t>
                  </w:r>
                </w:p>
              </w:tc>
              <w:tc>
                <w:tcPr>
                  <w:tcW w:w="1409" w:type="pct"/>
                  <w:vAlign w:val="center"/>
                </w:tcPr>
                <w:p w14:paraId="3D251F2E">
                  <w:pPr>
                    <w:pStyle w:val="15"/>
                  </w:pPr>
                  <w:r>
                    <w:rPr>
                      <w:rFonts w:hint="eastAsia"/>
                    </w:rPr>
                    <w:t>≤1</w:t>
                  </w:r>
                </w:p>
              </w:tc>
              <w:tc>
                <w:tcPr>
                  <w:tcW w:w="1544" w:type="pct"/>
                  <w:vAlign w:val="center"/>
                </w:tcPr>
                <w:p w14:paraId="67AB4EDC">
                  <w:pPr>
                    <w:pStyle w:val="15"/>
                  </w:pPr>
                  <w:r>
                    <w:t>烟囱排放口</w:t>
                  </w:r>
                </w:p>
              </w:tc>
            </w:tr>
          </w:tbl>
          <w:p w14:paraId="77C3C565">
            <w:pPr>
              <w:pStyle w:val="18"/>
            </w:pPr>
            <w:r>
              <w:t>表3-</w:t>
            </w:r>
            <w:r>
              <w:rPr>
                <w:rFonts w:hint="eastAsia"/>
              </w:rPr>
              <w:t>4</w:t>
            </w:r>
            <w:r>
              <w:t xml:space="preserve"> 《恶臭污染物排放标准》（GB14554-93）</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0"/>
              <w:gridCol w:w="3920"/>
            </w:tblGrid>
            <w:tr w14:paraId="7E6D6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3920" w:type="dxa"/>
                  <w:vAlign w:val="center"/>
                </w:tcPr>
                <w:p w14:paraId="73F51EED">
                  <w:pPr>
                    <w:pStyle w:val="15"/>
                  </w:pPr>
                  <w:r>
                    <w:rPr>
                      <w:rFonts w:hint="eastAsia"/>
                    </w:rPr>
                    <w:t>控制项目</w:t>
                  </w:r>
                </w:p>
              </w:tc>
              <w:tc>
                <w:tcPr>
                  <w:tcW w:w="3920" w:type="dxa"/>
                  <w:vAlign w:val="center"/>
                </w:tcPr>
                <w:p w14:paraId="514C3323">
                  <w:pPr>
                    <w:pStyle w:val="15"/>
                  </w:pPr>
                  <w:r>
                    <w:rPr>
                      <w:rFonts w:hint="eastAsia"/>
                    </w:rPr>
                    <w:t>标准值</w:t>
                  </w:r>
                </w:p>
              </w:tc>
            </w:tr>
            <w:tr w14:paraId="18449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vAlign w:val="center"/>
                </w:tcPr>
                <w:p w14:paraId="104C8182">
                  <w:pPr>
                    <w:pStyle w:val="15"/>
                  </w:pPr>
                  <w:r>
                    <w:rPr>
                      <w:rFonts w:hint="eastAsia"/>
                    </w:rPr>
                    <w:t>氨</w:t>
                  </w:r>
                </w:p>
              </w:tc>
              <w:tc>
                <w:tcPr>
                  <w:tcW w:w="3920" w:type="dxa"/>
                  <w:vAlign w:val="center"/>
                </w:tcPr>
                <w:p w14:paraId="00397046">
                  <w:pPr>
                    <w:pStyle w:val="15"/>
                  </w:pPr>
                  <w:r>
                    <w:rPr>
                      <w:rFonts w:hint="eastAsia"/>
                    </w:rPr>
                    <w:t>1.5</w:t>
                  </w:r>
                  <w:r>
                    <w:t>mg/m</w:t>
                  </w:r>
                  <w:r>
                    <w:rPr>
                      <w:vertAlign w:val="superscript"/>
                    </w:rPr>
                    <w:t>3</w:t>
                  </w:r>
                </w:p>
              </w:tc>
            </w:tr>
            <w:tr w14:paraId="107C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vAlign w:val="center"/>
                </w:tcPr>
                <w:p w14:paraId="3195A41C">
                  <w:pPr>
                    <w:pStyle w:val="15"/>
                  </w:pPr>
                  <w:r>
                    <w:rPr>
                      <w:rFonts w:hint="eastAsia"/>
                    </w:rPr>
                    <w:t>硫化氢</w:t>
                  </w:r>
                </w:p>
              </w:tc>
              <w:tc>
                <w:tcPr>
                  <w:tcW w:w="3920" w:type="dxa"/>
                  <w:vAlign w:val="center"/>
                </w:tcPr>
                <w:p w14:paraId="6D12A549">
                  <w:pPr>
                    <w:pStyle w:val="15"/>
                  </w:pPr>
                  <w:r>
                    <w:rPr>
                      <w:rFonts w:hint="eastAsia"/>
                    </w:rPr>
                    <w:t>0.06</w:t>
                  </w:r>
                  <w:r>
                    <w:t>mg/m</w:t>
                  </w:r>
                  <w:r>
                    <w:rPr>
                      <w:vertAlign w:val="superscript"/>
                    </w:rPr>
                    <w:t>3</w:t>
                  </w:r>
                </w:p>
              </w:tc>
            </w:tr>
            <w:tr w14:paraId="27F27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shd w:val="clear" w:color="auto" w:fill="auto"/>
                  <w:vAlign w:val="center"/>
                </w:tcPr>
                <w:p w14:paraId="7897259F">
                  <w:pPr>
                    <w:pStyle w:val="15"/>
                  </w:pPr>
                  <w:r>
                    <w:rPr>
                      <w:rFonts w:hint="eastAsia"/>
                    </w:rPr>
                    <w:t>臭气浓度</w:t>
                  </w:r>
                </w:p>
              </w:tc>
              <w:tc>
                <w:tcPr>
                  <w:tcW w:w="3920" w:type="dxa"/>
                  <w:shd w:val="clear" w:color="auto" w:fill="auto"/>
                  <w:vAlign w:val="center"/>
                </w:tcPr>
                <w:p w14:paraId="11DC1405">
                  <w:pPr>
                    <w:pStyle w:val="15"/>
                  </w:pPr>
                  <w:r>
                    <w:rPr>
                      <w:rFonts w:hint="eastAsia"/>
                    </w:rPr>
                    <w:t>20无量纲</w:t>
                  </w:r>
                </w:p>
              </w:tc>
            </w:tr>
          </w:tbl>
          <w:p w14:paraId="594FAEF2">
            <w:pPr>
              <w:pStyle w:val="16"/>
              <w:ind w:firstLine="482"/>
            </w:pPr>
            <w:r>
              <w:rPr>
                <w:rFonts w:hint="eastAsia"/>
              </w:rPr>
              <w:t>2、废水排放标准</w:t>
            </w:r>
          </w:p>
          <w:p w14:paraId="27D11ECF">
            <w:pPr>
              <w:ind w:firstLine="480"/>
            </w:pPr>
            <w:r>
              <w:t>生活经化粪池处理后用于周边农田施肥；</w:t>
            </w:r>
            <w:r>
              <w:rPr>
                <w:rFonts w:hint="eastAsia"/>
              </w:rPr>
              <w:t>餐具清洗废水和地面拖洗废水经隔油处理后排入沉淀池与纯水制备废水一起通过灌装运输车运至岳阳高新科技产业园区污水处理厂处理（详见附件6）</w:t>
            </w:r>
            <w:r>
              <w:t>。</w:t>
            </w:r>
          </w:p>
          <w:p w14:paraId="6E1939D8">
            <w:pPr>
              <w:pStyle w:val="16"/>
              <w:ind w:firstLine="482"/>
            </w:pPr>
            <w:r>
              <w:t>3、噪声</w:t>
            </w:r>
            <w:r>
              <w:rPr>
                <w:rFonts w:hint="eastAsia"/>
              </w:rPr>
              <w:t>排放标准</w:t>
            </w:r>
          </w:p>
          <w:p w14:paraId="0D6D91CA">
            <w:pPr>
              <w:ind w:firstLine="480"/>
            </w:pPr>
            <w:r>
              <w:rPr>
                <w:rFonts w:hint="eastAsia"/>
              </w:rPr>
              <w:t>营运期噪声</w:t>
            </w:r>
            <w:r>
              <w:t>执行《工业企业厂界环境噪声排放标准》（GB12348-2008）中2类标准</w:t>
            </w:r>
            <w:r>
              <w:rPr>
                <w:rFonts w:hint="eastAsia"/>
              </w:rPr>
              <w:t>（</w:t>
            </w:r>
            <w:r>
              <w:t>昼间≤</w:t>
            </w:r>
            <w:r>
              <w:rPr>
                <w:rFonts w:hint="eastAsia"/>
              </w:rPr>
              <w:t>6</w:t>
            </w:r>
            <w:r>
              <w:t>0dB（A），夜间≤5</w:t>
            </w:r>
            <w:r>
              <w:rPr>
                <w:rFonts w:hint="eastAsia"/>
              </w:rPr>
              <w:t>0</w:t>
            </w:r>
            <w:r>
              <w:t>dB（A））</w:t>
            </w:r>
            <w:r>
              <w:rPr>
                <w:rFonts w:hint="eastAsia"/>
              </w:rPr>
              <w:t>。</w:t>
            </w:r>
          </w:p>
          <w:p w14:paraId="5D18DEF9">
            <w:pPr>
              <w:pStyle w:val="16"/>
              <w:ind w:firstLine="482"/>
            </w:pPr>
            <w:r>
              <w:t>4、固废</w:t>
            </w:r>
          </w:p>
          <w:p w14:paraId="346C54D0">
            <w:pPr>
              <w:ind w:firstLine="480"/>
            </w:pPr>
            <w:r>
              <w:t>一般工业固体废物执行《一般工业固体废物贮存和填埋污染控制标准》(GB18599-2020)</w:t>
            </w:r>
            <w:r>
              <w:rPr>
                <w:rFonts w:hint="eastAsia"/>
              </w:rPr>
              <w:t>；</w:t>
            </w:r>
            <w:r>
              <w:t>危险废物执行《危险废物贮存污染控制标准》(GB18597-2023)。</w:t>
            </w:r>
          </w:p>
        </w:tc>
      </w:tr>
      <w:tr w14:paraId="4BB9E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6" w:hRule="atLeast"/>
        </w:trPr>
        <w:tc>
          <w:tcPr>
            <w:tcW w:w="407" w:type="dxa"/>
            <w:vAlign w:val="center"/>
          </w:tcPr>
          <w:p w14:paraId="6F342841">
            <w:pPr>
              <w:ind w:firstLine="0" w:firstLineChars="0"/>
              <w:jc w:val="center"/>
            </w:pPr>
            <w:r>
              <w:rPr>
                <w:rFonts w:hint="eastAsia"/>
              </w:rPr>
              <w:t>总量控制指标</w:t>
            </w:r>
          </w:p>
        </w:tc>
        <w:tc>
          <w:tcPr>
            <w:tcW w:w="8115" w:type="dxa"/>
          </w:tcPr>
          <w:p w14:paraId="39790312">
            <w:pPr>
              <w:ind w:firstLine="480"/>
            </w:pPr>
            <w:r>
              <w:t>根据《湖南省“十四五”生态环境保护规划》（湘政办发〔2021〕61号），化学需氧量、氨氮、二氧化硫、氮氧化物四类污染物和重金属类为管控主要污染物总量指标。</w:t>
            </w:r>
          </w:p>
          <w:p w14:paraId="79D2E7DE">
            <w:pPr>
              <w:ind w:firstLine="480"/>
            </w:pPr>
            <w:r>
              <w:t>本项目污染物排放总量</w:t>
            </w:r>
            <w:r>
              <w:rPr>
                <w:rFonts w:hint="eastAsia"/>
              </w:rPr>
              <w:t>指标</w:t>
            </w:r>
            <w:r>
              <w:t>为SO</w:t>
            </w:r>
            <w:r>
              <w:rPr>
                <w:vertAlign w:val="subscript"/>
              </w:rPr>
              <w:t>2</w:t>
            </w:r>
            <w:r>
              <w:t>、NO</w:t>
            </w:r>
            <w:r>
              <w:rPr>
                <w:rFonts w:hint="eastAsia"/>
                <w:vertAlign w:val="subscript"/>
              </w:rPr>
              <w:t>X</w:t>
            </w:r>
            <w:r>
              <w:rPr>
                <w:rFonts w:hint="eastAsia"/>
              </w:rPr>
              <w:t>，废气总量控制指标建议：</w:t>
            </w:r>
            <w:r>
              <w:t>SO</w:t>
            </w:r>
            <w:r>
              <w:rPr>
                <w:vertAlign w:val="subscript"/>
              </w:rPr>
              <w:t>2</w:t>
            </w:r>
            <w:r>
              <w:rPr>
                <w:rFonts w:hint="eastAsia"/>
                <w:vertAlign w:val="subscript"/>
              </w:rPr>
              <w:t xml:space="preserve"> </w:t>
            </w:r>
            <w:r>
              <w:rPr>
                <w:rFonts w:hint="eastAsia"/>
              </w:rPr>
              <w:t>：0.</w:t>
            </w:r>
            <w:r>
              <w:rPr>
                <w:rFonts w:hint="eastAsia"/>
                <w:lang w:val="en-US" w:eastAsia="zh-CN"/>
              </w:rPr>
              <w:t>71</w:t>
            </w:r>
            <w:r>
              <w:rPr>
                <w:rFonts w:hint="eastAsia"/>
              </w:rPr>
              <w:t>t/a、</w:t>
            </w:r>
            <w:r>
              <w:t>NO</w:t>
            </w:r>
            <w:r>
              <w:rPr>
                <w:rFonts w:hint="eastAsia"/>
                <w:vertAlign w:val="subscript"/>
              </w:rPr>
              <w:t>X</w:t>
            </w:r>
            <w:r>
              <w:rPr>
                <w:rFonts w:hint="eastAsia"/>
              </w:rPr>
              <w:t>：</w:t>
            </w:r>
            <w:r>
              <w:rPr>
                <w:rFonts w:hint="eastAsia"/>
                <w:lang w:val="en-US" w:eastAsia="zh-CN"/>
              </w:rPr>
              <w:t>2.12</w:t>
            </w:r>
            <w:r>
              <w:rPr>
                <w:rFonts w:hint="eastAsia"/>
              </w:rPr>
              <w:t>t/a，由建设单位向当地总量管理部门提出申请，经排污权交易进行获取。</w:t>
            </w:r>
          </w:p>
        </w:tc>
      </w:tr>
    </w:tbl>
    <w:p w14:paraId="42EB1830">
      <w:pPr>
        <w:ind w:firstLine="480"/>
      </w:pPr>
      <w:r>
        <w:rPr>
          <w:rFonts w:hint="eastAsia"/>
        </w:rPr>
        <w:br w:type="page"/>
      </w:r>
    </w:p>
    <w:p w14:paraId="453C6E3B">
      <w:pPr>
        <w:pStyle w:val="2"/>
        <w:numPr>
          <w:ilvl w:val="0"/>
          <w:numId w:val="4"/>
        </w:numPr>
      </w:pPr>
      <w:bookmarkStart w:id="12" w:name="_Toc30748"/>
      <w:r>
        <w:rPr>
          <w:rFonts w:hint="eastAsia"/>
        </w:rPr>
        <w:t>主要环境影响和保护措施</w:t>
      </w:r>
      <w:bookmarkEnd w:id="12"/>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8115"/>
      </w:tblGrid>
      <w:tr w14:paraId="11FE0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dxa"/>
            <w:vAlign w:val="center"/>
          </w:tcPr>
          <w:p w14:paraId="2D4DBC05">
            <w:pPr>
              <w:ind w:firstLine="0" w:firstLineChars="0"/>
              <w:jc w:val="center"/>
            </w:pPr>
            <w:r>
              <w:rPr>
                <w:rFonts w:hint="eastAsia"/>
              </w:rPr>
              <w:t>施工期环境保护措施</w:t>
            </w:r>
          </w:p>
        </w:tc>
        <w:tc>
          <w:tcPr>
            <w:tcW w:w="8115" w:type="dxa"/>
            <w:vAlign w:val="center"/>
          </w:tcPr>
          <w:p w14:paraId="46BA015D">
            <w:pPr>
              <w:pStyle w:val="17"/>
              <w:ind w:firstLine="480"/>
            </w:pPr>
            <w:r>
              <w:rPr>
                <w:rFonts w:hint="eastAsia"/>
              </w:rPr>
              <w:t>本项目租赁</w:t>
            </w:r>
            <w:r>
              <w:t>湖南远发建筑工程有限公司（湘北现代商贸物流园）</w:t>
            </w:r>
            <w:r>
              <w:rPr>
                <w:rFonts w:hint="eastAsia"/>
              </w:rPr>
              <w:t>厂房，不涉及较大的基础建设工程，主要污染物为施工过程产生的建筑垃圾及噪声，影响时间较短，随着施工期的结束，影响随之消除。因此，项目施工期对环境影响较小。</w:t>
            </w:r>
          </w:p>
        </w:tc>
      </w:tr>
      <w:tr w14:paraId="5F063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dxa"/>
            <w:vAlign w:val="center"/>
          </w:tcPr>
          <w:p w14:paraId="7A1D2A4F">
            <w:pPr>
              <w:ind w:firstLine="0" w:firstLineChars="0"/>
              <w:jc w:val="center"/>
            </w:pPr>
          </w:p>
          <w:p w14:paraId="2254C358">
            <w:pPr>
              <w:ind w:firstLine="0" w:firstLineChars="0"/>
              <w:jc w:val="center"/>
            </w:pPr>
          </w:p>
          <w:p w14:paraId="4A1C69F5">
            <w:pPr>
              <w:ind w:firstLine="0" w:firstLineChars="0"/>
              <w:jc w:val="center"/>
            </w:pPr>
          </w:p>
          <w:p w14:paraId="54578FF6">
            <w:pPr>
              <w:ind w:firstLine="0" w:firstLineChars="0"/>
              <w:jc w:val="center"/>
            </w:pPr>
          </w:p>
          <w:p w14:paraId="4D7BFFFD">
            <w:pPr>
              <w:ind w:firstLine="0" w:firstLineChars="0"/>
              <w:jc w:val="center"/>
            </w:pPr>
          </w:p>
          <w:p w14:paraId="69B22B64">
            <w:pPr>
              <w:ind w:firstLine="0" w:firstLineChars="0"/>
              <w:jc w:val="center"/>
            </w:pPr>
          </w:p>
          <w:p w14:paraId="2653CD52">
            <w:pPr>
              <w:ind w:firstLine="0" w:firstLineChars="0"/>
              <w:jc w:val="center"/>
            </w:pPr>
          </w:p>
          <w:p w14:paraId="13FB0F12">
            <w:pPr>
              <w:ind w:firstLine="0" w:firstLineChars="0"/>
              <w:jc w:val="center"/>
            </w:pPr>
          </w:p>
          <w:p w14:paraId="5E20FA66">
            <w:pPr>
              <w:ind w:firstLine="0" w:firstLineChars="0"/>
              <w:jc w:val="center"/>
            </w:pPr>
          </w:p>
          <w:p w14:paraId="563A81F0">
            <w:pPr>
              <w:ind w:firstLine="0" w:firstLineChars="0"/>
              <w:jc w:val="center"/>
            </w:pPr>
          </w:p>
          <w:p w14:paraId="73BD222C">
            <w:pPr>
              <w:ind w:firstLine="0" w:firstLineChars="0"/>
              <w:jc w:val="center"/>
            </w:pPr>
          </w:p>
          <w:p w14:paraId="0A9DFA08">
            <w:pPr>
              <w:ind w:firstLine="0" w:firstLineChars="0"/>
              <w:jc w:val="center"/>
            </w:pPr>
          </w:p>
          <w:p w14:paraId="0F0D087C">
            <w:pPr>
              <w:ind w:firstLine="0" w:firstLineChars="0"/>
              <w:jc w:val="center"/>
            </w:pPr>
          </w:p>
          <w:p w14:paraId="2E35BD3A">
            <w:pPr>
              <w:ind w:firstLine="0" w:firstLineChars="0"/>
              <w:jc w:val="center"/>
            </w:pPr>
          </w:p>
          <w:p w14:paraId="3EF10837">
            <w:pPr>
              <w:ind w:firstLine="0" w:firstLineChars="0"/>
              <w:jc w:val="center"/>
            </w:pPr>
          </w:p>
          <w:p w14:paraId="400316BA">
            <w:pPr>
              <w:ind w:firstLine="0" w:firstLineChars="0"/>
              <w:jc w:val="center"/>
            </w:pPr>
          </w:p>
          <w:p w14:paraId="74ED44CB">
            <w:pPr>
              <w:ind w:firstLine="0" w:firstLineChars="0"/>
              <w:jc w:val="center"/>
            </w:pPr>
          </w:p>
          <w:p w14:paraId="62350337">
            <w:pPr>
              <w:ind w:firstLine="0" w:firstLineChars="0"/>
              <w:jc w:val="center"/>
            </w:pPr>
          </w:p>
          <w:p w14:paraId="4B268143">
            <w:pPr>
              <w:ind w:firstLine="0" w:firstLineChars="0"/>
              <w:jc w:val="center"/>
            </w:pPr>
          </w:p>
          <w:p w14:paraId="76E41B13">
            <w:pPr>
              <w:ind w:firstLine="0" w:firstLineChars="0"/>
              <w:jc w:val="center"/>
            </w:pPr>
          </w:p>
          <w:p w14:paraId="3932BCD0">
            <w:pPr>
              <w:ind w:firstLine="0" w:firstLineChars="0"/>
              <w:jc w:val="center"/>
            </w:pPr>
          </w:p>
          <w:p w14:paraId="5134CC52">
            <w:pPr>
              <w:ind w:firstLine="0" w:firstLineChars="0"/>
              <w:jc w:val="center"/>
            </w:pPr>
          </w:p>
          <w:p w14:paraId="54A56F75">
            <w:pPr>
              <w:ind w:firstLine="0" w:firstLineChars="0"/>
              <w:jc w:val="center"/>
            </w:pPr>
          </w:p>
          <w:p w14:paraId="555E1578">
            <w:pPr>
              <w:ind w:firstLine="0" w:firstLineChars="0"/>
              <w:jc w:val="center"/>
            </w:pPr>
            <w:r>
              <w:rPr>
                <w:rFonts w:hint="eastAsia"/>
              </w:rPr>
              <w:t>运营</w:t>
            </w:r>
          </w:p>
          <w:p w14:paraId="3C158FB9">
            <w:pPr>
              <w:ind w:firstLine="0" w:firstLineChars="0"/>
              <w:jc w:val="center"/>
            </w:pPr>
            <w:r>
              <w:rPr>
                <w:rFonts w:hint="eastAsia"/>
              </w:rPr>
              <w:t>期环</w:t>
            </w:r>
          </w:p>
          <w:p w14:paraId="644A0566">
            <w:pPr>
              <w:ind w:firstLine="0" w:firstLineChars="0"/>
              <w:jc w:val="center"/>
            </w:pPr>
            <w:r>
              <w:rPr>
                <w:rFonts w:hint="eastAsia"/>
              </w:rPr>
              <w:t>境影</w:t>
            </w:r>
          </w:p>
          <w:p w14:paraId="108C0462">
            <w:pPr>
              <w:ind w:firstLine="0" w:firstLineChars="0"/>
              <w:jc w:val="center"/>
            </w:pPr>
            <w:r>
              <w:rPr>
                <w:rFonts w:hint="eastAsia"/>
              </w:rPr>
              <w:t>响和</w:t>
            </w:r>
          </w:p>
          <w:p w14:paraId="247C41B7">
            <w:pPr>
              <w:ind w:firstLine="0" w:firstLineChars="0"/>
              <w:jc w:val="center"/>
            </w:pPr>
            <w:r>
              <w:rPr>
                <w:rFonts w:hint="eastAsia"/>
              </w:rPr>
              <w:t>保护</w:t>
            </w:r>
          </w:p>
          <w:p w14:paraId="5334B352">
            <w:pPr>
              <w:ind w:firstLine="0" w:firstLineChars="0"/>
              <w:jc w:val="center"/>
            </w:pPr>
            <w:r>
              <w:rPr>
                <w:rFonts w:hint="eastAsia"/>
              </w:rPr>
              <w:t>措施</w:t>
            </w:r>
          </w:p>
        </w:tc>
        <w:tc>
          <w:tcPr>
            <w:tcW w:w="8115" w:type="dxa"/>
          </w:tcPr>
          <w:p w14:paraId="72803AE9">
            <w:pPr>
              <w:pStyle w:val="16"/>
              <w:ind w:firstLine="482"/>
            </w:pPr>
            <w:r>
              <w:rPr>
                <w:rFonts w:hint="eastAsia"/>
              </w:rPr>
              <w:t>1、废气污染源分析</w:t>
            </w:r>
          </w:p>
          <w:p w14:paraId="5E3228A5">
            <w:pPr>
              <w:pStyle w:val="16"/>
              <w:ind w:firstLine="482"/>
            </w:pPr>
            <w:r>
              <w:rPr>
                <w:rFonts w:hint="eastAsia"/>
              </w:rPr>
              <w:t>1.1 废气污染源强核算</w:t>
            </w:r>
          </w:p>
          <w:p w14:paraId="05B5897F">
            <w:pPr>
              <w:pStyle w:val="17"/>
              <w:ind w:firstLine="480"/>
            </w:pPr>
            <w:r>
              <w:rPr>
                <w:rFonts w:hint="eastAsia"/>
              </w:rPr>
              <w:t>本项目废气主要为锅炉废气和生产车间异味。</w:t>
            </w:r>
          </w:p>
          <w:p w14:paraId="645D6F31">
            <w:pPr>
              <w:pStyle w:val="17"/>
              <w:ind w:firstLine="480"/>
            </w:pPr>
            <w:r>
              <w:rPr>
                <w:rFonts w:hint="eastAsia"/>
              </w:rPr>
              <w:t>（1）锅炉废气</w:t>
            </w:r>
          </w:p>
          <w:p w14:paraId="2A4D7FB7">
            <w:pPr>
              <w:pStyle w:val="17"/>
              <w:ind w:firstLine="480"/>
            </w:pPr>
            <w:r>
              <w:rPr>
                <w:rFonts w:hint="eastAsia"/>
              </w:rPr>
              <w:t>本项目成型生物质燃料用量为</w:t>
            </w:r>
            <w:r>
              <w:rPr>
                <w:rFonts w:hint="eastAsia"/>
                <w:lang w:val="en-US" w:eastAsia="zh-CN"/>
              </w:rPr>
              <w:t>2080</w:t>
            </w:r>
            <w:r>
              <w:rPr>
                <w:rFonts w:hint="eastAsia"/>
              </w:rPr>
              <w:t>t/a，根据《排放源统计调查产排污核算方法和系数手册》中4430工业锅炉（热力生产和供应行业），产污系数详见下表。</w:t>
            </w:r>
          </w:p>
          <w:p w14:paraId="3960EAA6">
            <w:pPr>
              <w:pStyle w:val="18"/>
            </w:pPr>
            <w:r>
              <w:rPr>
                <w:rFonts w:hint="eastAsia"/>
              </w:rPr>
              <w:t>表4-1  工业锅炉（热力生产和供应行业）产排污系数表</w:t>
            </w:r>
          </w:p>
          <w:tbl>
            <w:tblPr>
              <w:tblStyle w:val="12"/>
              <w:tblW w:w="7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1230"/>
              <w:gridCol w:w="1790"/>
              <w:gridCol w:w="1954"/>
              <w:gridCol w:w="1580"/>
            </w:tblGrid>
            <w:tr w14:paraId="54477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5" w:type="dxa"/>
                  <w:vAlign w:val="center"/>
                </w:tcPr>
                <w:p w14:paraId="4F84900F">
                  <w:pPr>
                    <w:pStyle w:val="15"/>
                  </w:pPr>
                  <w:r>
                    <w:rPr>
                      <w:rFonts w:hint="eastAsia"/>
                    </w:rPr>
                    <w:t>原料名称</w:t>
                  </w:r>
                </w:p>
              </w:tc>
              <w:tc>
                <w:tcPr>
                  <w:tcW w:w="1230" w:type="dxa"/>
                  <w:vAlign w:val="center"/>
                </w:tcPr>
                <w:p w14:paraId="3E5040D4">
                  <w:pPr>
                    <w:pStyle w:val="15"/>
                  </w:pPr>
                  <w:r>
                    <w:rPr>
                      <w:rFonts w:hint="eastAsia"/>
                    </w:rPr>
                    <w:t>等级规模</w:t>
                  </w:r>
                </w:p>
              </w:tc>
              <w:tc>
                <w:tcPr>
                  <w:tcW w:w="1790" w:type="dxa"/>
                  <w:vAlign w:val="center"/>
                </w:tcPr>
                <w:p w14:paraId="5FBB7397">
                  <w:pPr>
                    <w:pStyle w:val="15"/>
                  </w:pPr>
                  <w:r>
                    <w:rPr>
                      <w:rFonts w:hint="eastAsia"/>
                    </w:rPr>
                    <w:t>污染物指标</w:t>
                  </w:r>
                </w:p>
              </w:tc>
              <w:tc>
                <w:tcPr>
                  <w:tcW w:w="1954" w:type="dxa"/>
                  <w:vAlign w:val="center"/>
                </w:tcPr>
                <w:p w14:paraId="493C3D4E">
                  <w:pPr>
                    <w:pStyle w:val="15"/>
                  </w:pPr>
                  <w:r>
                    <w:rPr>
                      <w:rFonts w:hint="eastAsia"/>
                    </w:rPr>
                    <w:t>单位</w:t>
                  </w:r>
                </w:p>
              </w:tc>
              <w:tc>
                <w:tcPr>
                  <w:tcW w:w="1580" w:type="dxa"/>
                  <w:vAlign w:val="center"/>
                </w:tcPr>
                <w:p w14:paraId="3B693432">
                  <w:pPr>
                    <w:pStyle w:val="15"/>
                  </w:pPr>
                  <w:r>
                    <w:rPr>
                      <w:rFonts w:hint="eastAsia"/>
                    </w:rPr>
                    <w:t>产物系数</w:t>
                  </w:r>
                </w:p>
              </w:tc>
            </w:tr>
            <w:tr w14:paraId="13D1E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vMerge w:val="restart"/>
                  <w:vAlign w:val="center"/>
                </w:tcPr>
                <w:p w14:paraId="5D2E312D">
                  <w:pPr>
                    <w:pStyle w:val="15"/>
                  </w:pPr>
                  <w:r>
                    <w:rPr>
                      <w:rFonts w:hint="eastAsia"/>
                    </w:rPr>
                    <w:t>生物质燃料</w:t>
                  </w:r>
                </w:p>
              </w:tc>
              <w:tc>
                <w:tcPr>
                  <w:tcW w:w="1230" w:type="dxa"/>
                  <w:vMerge w:val="restart"/>
                  <w:vAlign w:val="center"/>
                </w:tcPr>
                <w:p w14:paraId="34A17068">
                  <w:pPr>
                    <w:pStyle w:val="15"/>
                  </w:pPr>
                  <w:r>
                    <w:rPr>
                      <w:rFonts w:hint="eastAsia"/>
                    </w:rPr>
                    <w:t>所有规模</w:t>
                  </w:r>
                </w:p>
              </w:tc>
              <w:tc>
                <w:tcPr>
                  <w:tcW w:w="1790" w:type="dxa"/>
                  <w:vAlign w:val="center"/>
                </w:tcPr>
                <w:p w14:paraId="5C763683">
                  <w:pPr>
                    <w:pStyle w:val="15"/>
                  </w:pPr>
                  <w:r>
                    <w:rPr>
                      <w:rFonts w:hint="eastAsia"/>
                    </w:rPr>
                    <w:t>工业废气量</w:t>
                  </w:r>
                </w:p>
              </w:tc>
              <w:tc>
                <w:tcPr>
                  <w:tcW w:w="1954" w:type="dxa"/>
                  <w:vAlign w:val="center"/>
                </w:tcPr>
                <w:p w14:paraId="63EDFB9B">
                  <w:pPr>
                    <w:pStyle w:val="15"/>
                  </w:pPr>
                  <w:r>
                    <w:rPr>
                      <w:rFonts w:hint="eastAsia"/>
                    </w:rPr>
                    <w:t>标立方米/吨-原料</w:t>
                  </w:r>
                </w:p>
              </w:tc>
              <w:tc>
                <w:tcPr>
                  <w:tcW w:w="1580" w:type="dxa"/>
                  <w:vAlign w:val="center"/>
                </w:tcPr>
                <w:p w14:paraId="753F53E8">
                  <w:pPr>
                    <w:pStyle w:val="15"/>
                  </w:pPr>
                  <w:r>
                    <w:rPr>
                      <w:rFonts w:hint="eastAsia"/>
                    </w:rPr>
                    <w:t>6240</w:t>
                  </w:r>
                </w:p>
              </w:tc>
            </w:tr>
            <w:tr w14:paraId="51F72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vMerge w:val="continue"/>
                  <w:vAlign w:val="center"/>
                </w:tcPr>
                <w:p w14:paraId="1B8C5573">
                  <w:pPr>
                    <w:pStyle w:val="15"/>
                  </w:pPr>
                </w:p>
              </w:tc>
              <w:tc>
                <w:tcPr>
                  <w:tcW w:w="1230" w:type="dxa"/>
                  <w:vMerge w:val="continue"/>
                  <w:vAlign w:val="center"/>
                </w:tcPr>
                <w:p w14:paraId="266A3ADB">
                  <w:pPr>
                    <w:pStyle w:val="15"/>
                  </w:pPr>
                </w:p>
              </w:tc>
              <w:tc>
                <w:tcPr>
                  <w:tcW w:w="1790" w:type="dxa"/>
                  <w:vAlign w:val="center"/>
                </w:tcPr>
                <w:p w14:paraId="38EB9ADD">
                  <w:pPr>
                    <w:pStyle w:val="15"/>
                  </w:pPr>
                  <w:r>
                    <w:rPr>
                      <w:rFonts w:hint="eastAsia"/>
                    </w:rPr>
                    <w:t>颗粒物</w:t>
                  </w:r>
                </w:p>
              </w:tc>
              <w:tc>
                <w:tcPr>
                  <w:tcW w:w="1954" w:type="dxa"/>
                  <w:vAlign w:val="center"/>
                </w:tcPr>
                <w:p w14:paraId="4BC18006">
                  <w:pPr>
                    <w:pStyle w:val="15"/>
                  </w:pPr>
                  <w:r>
                    <w:rPr>
                      <w:rFonts w:hint="eastAsia"/>
                    </w:rPr>
                    <w:t>千克/吨-原料</w:t>
                  </w:r>
                </w:p>
              </w:tc>
              <w:tc>
                <w:tcPr>
                  <w:tcW w:w="1580" w:type="dxa"/>
                  <w:vAlign w:val="center"/>
                </w:tcPr>
                <w:p w14:paraId="349EF07E">
                  <w:pPr>
                    <w:pStyle w:val="15"/>
                  </w:pPr>
                  <w:r>
                    <w:rPr>
                      <w:rFonts w:hint="eastAsia"/>
                    </w:rPr>
                    <w:t>0.5</w:t>
                  </w:r>
                </w:p>
              </w:tc>
            </w:tr>
            <w:tr w14:paraId="4AD50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vMerge w:val="continue"/>
                  <w:vAlign w:val="center"/>
                </w:tcPr>
                <w:p w14:paraId="0B00D27D">
                  <w:pPr>
                    <w:pStyle w:val="15"/>
                  </w:pPr>
                </w:p>
              </w:tc>
              <w:tc>
                <w:tcPr>
                  <w:tcW w:w="1230" w:type="dxa"/>
                  <w:vMerge w:val="continue"/>
                  <w:vAlign w:val="center"/>
                </w:tcPr>
                <w:p w14:paraId="4F40D5DF">
                  <w:pPr>
                    <w:pStyle w:val="15"/>
                  </w:pPr>
                </w:p>
              </w:tc>
              <w:tc>
                <w:tcPr>
                  <w:tcW w:w="1790" w:type="dxa"/>
                  <w:vAlign w:val="center"/>
                </w:tcPr>
                <w:p w14:paraId="5A90506E">
                  <w:pPr>
                    <w:pStyle w:val="15"/>
                  </w:pPr>
                  <w:r>
                    <w:rPr>
                      <w:rFonts w:hint="eastAsia"/>
                    </w:rPr>
                    <w:t>二氧化硫</w:t>
                  </w:r>
                </w:p>
              </w:tc>
              <w:tc>
                <w:tcPr>
                  <w:tcW w:w="1954" w:type="dxa"/>
                  <w:vAlign w:val="center"/>
                </w:tcPr>
                <w:p w14:paraId="5FEC2DD5">
                  <w:pPr>
                    <w:pStyle w:val="15"/>
                  </w:pPr>
                  <w:r>
                    <w:rPr>
                      <w:rFonts w:hint="eastAsia"/>
                    </w:rPr>
                    <w:t>千克/吨-原料</w:t>
                  </w:r>
                </w:p>
              </w:tc>
              <w:tc>
                <w:tcPr>
                  <w:tcW w:w="1580" w:type="dxa"/>
                  <w:vAlign w:val="center"/>
                </w:tcPr>
                <w:p w14:paraId="5D5B473B">
                  <w:pPr>
                    <w:pStyle w:val="15"/>
                  </w:pPr>
                  <w:r>
                    <w:rPr>
                      <w:rFonts w:hint="eastAsia"/>
                    </w:rPr>
                    <w:t>17S</w:t>
                  </w:r>
                </w:p>
              </w:tc>
            </w:tr>
            <w:tr w14:paraId="3118D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vMerge w:val="continue"/>
                  <w:vAlign w:val="center"/>
                </w:tcPr>
                <w:p w14:paraId="339FB734">
                  <w:pPr>
                    <w:pStyle w:val="15"/>
                  </w:pPr>
                </w:p>
              </w:tc>
              <w:tc>
                <w:tcPr>
                  <w:tcW w:w="1230" w:type="dxa"/>
                  <w:vMerge w:val="continue"/>
                  <w:vAlign w:val="center"/>
                </w:tcPr>
                <w:p w14:paraId="712B22F2">
                  <w:pPr>
                    <w:pStyle w:val="15"/>
                  </w:pPr>
                </w:p>
              </w:tc>
              <w:tc>
                <w:tcPr>
                  <w:tcW w:w="1790" w:type="dxa"/>
                  <w:vAlign w:val="center"/>
                </w:tcPr>
                <w:p w14:paraId="12133B64">
                  <w:pPr>
                    <w:pStyle w:val="15"/>
                  </w:pPr>
                  <w:r>
                    <w:rPr>
                      <w:rFonts w:hint="eastAsia"/>
                    </w:rPr>
                    <w:t>氮氧化物</w:t>
                  </w:r>
                </w:p>
              </w:tc>
              <w:tc>
                <w:tcPr>
                  <w:tcW w:w="1954" w:type="dxa"/>
                  <w:vAlign w:val="center"/>
                </w:tcPr>
                <w:p w14:paraId="76EE5A3D">
                  <w:pPr>
                    <w:pStyle w:val="15"/>
                  </w:pPr>
                  <w:r>
                    <w:rPr>
                      <w:rFonts w:hint="eastAsia"/>
                    </w:rPr>
                    <w:t>千克/吨-原料</w:t>
                  </w:r>
                </w:p>
              </w:tc>
              <w:tc>
                <w:tcPr>
                  <w:tcW w:w="1580" w:type="dxa"/>
                  <w:vAlign w:val="center"/>
                </w:tcPr>
                <w:p w14:paraId="26AE2FF9">
                  <w:pPr>
                    <w:pStyle w:val="15"/>
                  </w:pPr>
                  <w:r>
                    <w:rPr>
                      <w:rFonts w:hint="eastAsia"/>
                    </w:rPr>
                    <w:t>1.02</w:t>
                  </w:r>
                </w:p>
              </w:tc>
            </w:tr>
            <w:tr w14:paraId="6FC51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9" w:type="dxa"/>
                  <w:gridSpan w:val="5"/>
                </w:tcPr>
                <w:p w14:paraId="25630525">
                  <w:pPr>
                    <w:pStyle w:val="15"/>
                  </w:pPr>
                  <w:r>
                    <w:rPr>
                      <w:rFonts w:hint="eastAsia"/>
                    </w:rPr>
                    <w:t>注：二氧化硫的产污系数是以含硫量（S%）的形式表示的，其中含硫量（S%）是指生物质收到基硫分含量，以质量百分数的形式表示，根据生物质检测报告（附件3），含硫量为0.02%。</w:t>
                  </w:r>
                </w:p>
              </w:tc>
            </w:tr>
          </w:tbl>
          <w:p w14:paraId="16521AF8">
            <w:pPr>
              <w:pStyle w:val="17"/>
              <w:ind w:firstLine="480"/>
            </w:pPr>
            <w:r>
              <w:rPr>
                <w:rFonts w:hint="eastAsia"/>
              </w:rPr>
              <w:t>根据建设单位提供资料，锅炉每天运行8个小时，年运行200天，生物质锅炉废气污染物产生及排放情况详见下表。</w:t>
            </w:r>
          </w:p>
          <w:p w14:paraId="5FD69E70">
            <w:pPr>
              <w:pStyle w:val="18"/>
            </w:pPr>
            <w:r>
              <w:rPr>
                <w:rFonts w:hint="eastAsia"/>
              </w:rPr>
              <w:t xml:space="preserve">表4-2  生物质锅炉废气污染物产生及排放情况 </w:t>
            </w:r>
          </w:p>
          <w:tbl>
            <w:tblPr>
              <w:tblStyle w:val="12"/>
              <w:tblW w:w="7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695"/>
              <w:gridCol w:w="669"/>
              <w:gridCol w:w="820"/>
              <w:gridCol w:w="992"/>
              <w:gridCol w:w="714"/>
              <w:gridCol w:w="600"/>
              <w:gridCol w:w="750"/>
              <w:gridCol w:w="880"/>
              <w:gridCol w:w="1024"/>
            </w:tblGrid>
            <w:tr w14:paraId="5C8B3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Merge w:val="restart"/>
                  <w:vAlign w:val="center"/>
                </w:tcPr>
                <w:p w14:paraId="27502859">
                  <w:pPr>
                    <w:pStyle w:val="15"/>
                  </w:pPr>
                  <w:r>
                    <w:rPr>
                      <w:rFonts w:hint="eastAsia"/>
                    </w:rPr>
                    <w:t>污染物</w:t>
                  </w:r>
                </w:p>
              </w:tc>
              <w:tc>
                <w:tcPr>
                  <w:tcW w:w="695" w:type="dxa"/>
                  <w:vMerge w:val="restart"/>
                  <w:vAlign w:val="center"/>
                </w:tcPr>
                <w:p w14:paraId="7C463A6A">
                  <w:pPr>
                    <w:pStyle w:val="15"/>
                  </w:pPr>
                  <w:r>
                    <w:rPr>
                      <w:rFonts w:hint="eastAsia"/>
                    </w:rPr>
                    <w:t>烟气量Nm</w:t>
                  </w:r>
                  <w:r>
                    <w:rPr>
                      <w:rFonts w:hint="eastAsia"/>
                      <w:vertAlign w:val="superscript"/>
                    </w:rPr>
                    <w:t>3</w:t>
                  </w:r>
                  <w:r>
                    <w:rPr>
                      <w:rFonts w:hint="eastAsia"/>
                    </w:rPr>
                    <w:t>/a</w:t>
                  </w:r>
                </w:p>
              </w:tc>
              <w:tc>
                <w:tcPr>
                  <w:tcW w:w="2481" w:type="dxa"/>
                  <w:gridSpan w:val="3"/>
                  <w:vAlign w:val="center"/>
                </w:tcPr>
                <w:p w14:paraId="475C59BA">
                  <w:pPr>
                    <w:pStyle w:val="15"/>
                  </w:pPr>
                  <w:r>
                    <w:rPr>
                      <w:rFonts w:hint="eastAsia"/>
                    </w:rPr>
                    <w:t>污染物产生情况</w:t>
                  </w:r>
                </w:p>
              </w:tc>
              <w:tc>
                <w:tcPr>
                  <w:tcW w:w="714" w:type="dxa"/>
                  <w:vMerge w:val="restart"/>
                  <w:vAlign w:val="center"/>
                </w:tcPr>
                <w:p w14:paraId="578BA694">
                  <w:pPr>
                    <w:pStyle w:val="15"/>
                  </w:pPr>
                  <w:r>
                    <w:rPr>
                      <w:rFonts w:hint="eastAsia"/>
                    </w:rPr>
                    <w:t>处理措施</w:t>
                  </w:r>
                </w:p>
              </w:tc>
              <w:tc>
                <w:tcPr>
                  <w:tcW w:w="600" w:type="dxa"/>
                  <w:vMerge w:val="restart"/>
                  <w:vAlign w:val="center"/>
                </w:tcPr>
                <w:p w14:paraId="4C432B0A">
                  <w:pPr>
                    <w:pStyle w:val="15"/>
                  </w:pPr>
                  <w:r>
                    <w:rPr>
                      <w:rFonts w:hint="eastAsia"/>
                    </w:rPr>
                    <w:t>去除效率</w:t>
                  </w:r>
                </w:p>
              </w:tc>
              <w:tc>
                <w:tcPr>
                  <w:tcW w:w="2654" w:type="dxa"/>
                  <w:gridSpan w:val="3"/>
                  <w:vAlign w:val="center"/>
                </w:tcPr>
                <w:p w14:paraId="5A73230F">
                  <w:pPr>
                    <w:pStyle w:val="15"/>
                  </w:pPr>
                  <w:r>
                    <w:rPr>
                      <w:rFonts w:hint="eastAsia"/>
                    </w:rPr>
                    <w:t>污染物排放情况</w:t>
                  </w:r>
                </w:p>
              </w:tc>
            </w:tr>
            <w:tr w14:paraId="71AD8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Merge w:val="continue"/>
                  <w:vAlign w:val="center"/>
                </w:tcPr>
                <w:p w14:paraId="4B2C6A4D">
                  <w:pPr>
                    <w:pStyle w:val="15"/>
                  </w:pPr>
                </w:p>
              </w:tc>
              <w:tc>
                <w:tcPr>
                  <w:tcW w:w="695" w:type="dxa"/>
                  <w:vMerge w:val="continue"/>
                  <w:vAlign w:val="center"/>
                </w:tcPr>
                <w:p w14:paraId="78B02CF5">
                  <w:pPr>
                    <w:pStyle w:val="15"/>
                  </w:pPr>
                </w:p>
              </w:tc>
              <w:tc>
                <w:tcPr>
                  <w:tcW w:w="669" w:type="dxa"/>
                  <w:vAlign w:val="center"/>
                </w:tcPr>
                <w:p w14:paraId="7289D657">
                  <w:pPr>
                    <w:pStyle w:val="15"/>
                  </w:pPr>
                  <w:r>
                    <w:rPr>
                      <w:rFonts w:hint="eastAsia"/>
                    </w:rPr>
                    <w:t>产生量t/a</w:t>
                  </w:r>
                </w:p>
              </w:tc>
              <w:tc>
                <w:tcPr>
                  <w:tcW w:w="820" w:type="dxa"/>
                  <w:vAlign w:val="center"/>
                </w:tcPr>
                <w:p w14:paraId="24E17265">
                  <w:pPr>
                    <w:pStyle w:val="15"/>
                  </w:pPr>
                  <w:r>
                    <w:rPr>
                      <w:rFonts w:hint="eastAsia"/>
                    </w:rPr>
                    <w:t>产生速率kg/h</w:t>
                  </w:r>
                </w:p>
              </w:tc>
              <w:tc>
                <w:tcPr>
                  <w:tcW w:w="992" w:type="dxa"/>
                  <w:vAlign w:val="center"/>
                </w:tcPr>
                <w:p w14:paraId="22CAF9D2">
                  <w:pPr>
                    <w:pStyle w:val="15"/>
                  </w:pPr>
                  <w:r>
                    <w:rPr>
                      <w:rFonts w:hint="eastAsia"/>
                    </w:rPr>
                    <w:t>产生浓度mg/m</w:t>
                  </w:r>
                  <w:r>
                    <w:rPr>
                      <w:rFonts w:hint="eastAsia"/>
                      <w:vertAlign w:val="superscript"/>
                    </w:rPr>
                    <w:t>3</w:t>
                  </w:r>
                </w:p>
              </w:tc>
              <w:tc>
                <w:tcPr>
                  <w:tcW w:w="714" w:type="dxa"/>
                  <w:vMerge w:val="continue"/>
                  <w:vAlign w:val="center"/>
                </w:tcPr>
                <w:p w14:paraId="6350C718">
                  <w:pPr>
                    <w:pStyle w:val="15"/>
                  </w:pPr>
                </w:p>
              </w:tc>
              <w:tc>
                <w:tcPr>
                  <w:tcW w:w="600" w:type="dxa"/>
                  <w:vMerge w:val="continue"/>
                  <w:vAlign w:val="center"/>
                </w:tcPr>
                <w:p w14:paraId="34275ED3">
                  <w:pPr>
                    <w:pStyle w:val="15"/>
                  </w:pPr>
                </w:p>
              </w:tc>
              <w:tc>
                <w:tcPr>
                  <w:tcW w:w="750" w:type="dxa"/>
                  <w:vAlign w:val="center"/>
                </w:tcPr>
                <w:p w14:paraId="59FABC75">
                  <w:pPr>
                    <w:pStyle w:val="15"/>
                  </w:pPr>
                  <w:r>
                    <w:rPr>
                      <w:rFonts w:hint="eastAsia"/>
                    </w:rPr>
                    <w:t>排放量t/a</w:t>
                  </w:r>
                </w:p>
              </w:tc>
              <w:tc>
                <w:tcPr>
                  <w:tcW w:w="880" w:type="dxa"/>
                  <w:vAlign w:val="center"/>
                </w:tcPr>
                <w:p w14:paraId="28AAE098">
                  <w:pPr>
                    <w:pStyle w:val="15"/>
                  </w:pPr>
                  <w:r>
                    <w:rPr>
                      <w:rFonts w:hint="eastAsia"/>
                    </w:rPr>
                    <w:t>排放速率kg/h</w:t>
                  </w:r>
                </w:p>
              </w:tc>
              <w:tc>
                <w:tcPr>
                  <w:tcW w:w="1024" w:type="dxa"/>
                  <w:vAlign w:val="center"/>
                </w:tcPr>
                <w:p w14:paraId="1AF3E93F">
                  <w:pPr>
                    <w:pStyle w:val="15"/>
                  </w:pPr>
                  <w:r>
                    <w:rPr>
                      <w:rFonts w:hint="eastAsia"/>
                    </w:rPr>
                    <w:t>排放浓度mg/m</w:t>
                  </w:r>
                  <w:r>
                    <w:rPr>
                      <w:rFonts w:hint="eastAsia"/>
                      <w:vertAlign w:val="superscript"/>
                    </w:rPr>
                    <w:t>3</w:t>
                  </w:r>
                </w:p>
              </w:tc>
            </w:tr>
            <w:tr w14:paraId="76C98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14:paraId="21088D3B">
                  <w:pPr>
                    <w:pStyle w:val="15"/>
                  </w:pPr>
                  <w:r>
                    <w:rPr>
                      <w:rFonts w:hint="eastAsia"/>
                    </w:rPr>
                    <w:t>颗粒物</w:t>
                  </w:r>
                </w:p>
              </w:tc>
              <w:tc>
                <w:tcPr>
                  <w:tcW w:w="695" w:type="dxa"/>
                  <w:vMerge w:val="restart"/>
                  <w:vAlign w:val="center"/>
                </w:tcPr>
                <w:p w14:paraId="709EADCD">
                  <w:pPr>
                    <w:pStyle w:val="15"/>
                  </w:pPr>
                </w:p>
                <w:p w14:paraId="24310B73">
                  <w:pPr>
                    <w:pStyle w:val="15"/>
                  </w:pPr>
                </w:p>
                <w:p w14:paraId="3B445D73">
                  <w:pPr>
                    <w:pStyle w:val="15"/>
                  </w:pPr>
                  <w:r>
                    <w:rPr>
                      <w:rFonts w:hint="eastAsia"/>
                      <w:lang w:val="en-US" w:eastAsia="zh-CN"/>
                    </w:rPr>
                    <w:t>12.98</w:t>
                  </w:r>
                  <w:r>
                    <w:rPr>
                      <w:rFonts w:hint="eastAsia"/>
                    </w:rPr>
                    <w:t>×10</w:t>
                  </w:r>
                  <w:r>
                    <w:rPr>
                      <w:rFonts w:hint="eastAsia"/>
                      <w:vertAlign w:val="superscript"/>
                    </w:rPr>
                    <w:t>-6</w:t>
                  </w:r>
                </w:p>
              </w:tc>
              <w:tc>
                <w:tcPr>
                  <w:tcW w:w="669" w:type="dxa"/>
                  <w:vAlign w:val="center"/>
                </w:tcPr>
                <w:p w14:paraId="58208EA4">
                  <w:pPr>
                    <w:pStyle w:val="15"/>
                    <w:rPr>
                      <w:rFonts w:hint="default" w:eastAsia="宋体"/>
                      <w:lang w:val="en-US" w:eastAsia="zh-CN"/>
                    </w:rPr>
                  </w:pPr>
                  <w:r>
                    <w:rPr>
                      <w:rFonts w:hint="eastAsia"/>
                      <w:lang w:val="en-US" w:eastAsia="zh-CN"/>
                    </w:rPr>
                    <w:t>1.04</w:t>
                  </w:r>
                </w:p>
              </w:tc>
              <w:tc>
                <w:tcPr>
                  <w:tcW w:w="820" w:type="dxa"/>
                  <w:vAlign w:val="center"/>
                </w:tcPr>
                <w:p w14:paraId="73C5047F">
                  <w:pPr>
                    <w:pStyle w:val="15"/>
                    <w:rPr>
                      <w:rFonts w:hint="default" w:eastAsia="宋体"/>
                      <w:lang w:val="en-US" w:eastAsia="zh-CN"/>
                    </w:rPr>
                  </w:pPr>
                  <w:r>
                    <w:rPr>
                      <w:rFonts w:hint="eastAsia"/>
                    </w:rPr>
                    <w:t>0.</w:t>
                  </w:r>
                  <w:r>
                    <w:rPr>
                      <w:rFonts w:hint="eastAsia"/>
                      <w:lang w:val="en-US" w:eastAsia="zh-CN"/>
                    </w:rPr>
                    <w:t>65</w:t>
                  </w:r>
                </w:p>
              </w:tc>
              <w:tc>
                <w:tcPr>
                  <w:tcW w:w="992" w:type="dxa"/>
                  <w:vAlign w:val="center"/>
                </w:tcPr>
                <w:p w14:paraId="3A6EF3AE">
                  <w:pPr>
                    <w:pStyle w:val="15"/>
                  </w:pPr>
                  <w:r>
                    <w:rPr>
                      <w:rFonts w:hint="eastAsia"/>
                    </w:rPr>
                    <w:t>80.13</w:t>
                  </w:r>
                </w:p>
              </w:tc>
              <w:tc>
                <w:tcPr>
                  <w:tcW w:w="714" w:type="dxa"/>
                  <w:vMerge w:val="restart"/>
                  <w:vAlign w:val="center"/>
                </w:tcPr>
                <w:p w14:paraId="7A71AF92">
                  <w:pPr>
                    <w:pStyle w:val="15"/>
                  </w:pPr>
                  <w:r>
                    <w:rPr>
                      <w:rFonts w:hint="eastAsia"/>
                    </w:rPr>
                    <w:t>布袋除尘</w:t>
                  </w:r>
                </w:p>
              </w:tc>
              <w:tc>
                <w:tcPr>
                  <w:tcW w:w="600" w:type="dxa"/>
                  <w:vAlign w:val="center"/>
                </w:tcPr>
                <w:p w14:paraId="1761FF46">
                  <w:pPr>
                    <w:pStyle w:val="15"/>
                  </w:pPr>
                  <w:r>
                    <w:rPr>
                      <w:rFonts w:hint="eastAsia"/>
                    </w:rPr>
                    <w:t>98.4%</w:t>
                  </w:r>
                </w:p>
              </w:tc>
              <w:tc>
                <w:tcPr>
                  <w:tcW w:w="750" w:type="dxa"/>
                  <w:vAlign w:val="center"/>
                </w:tcPr>
                <w:p w14:paraId="6417A86E">
                  <w:pPr>
                    <w:pStyle w:val="15"/>
                    <w:rPr>
                      <w:rFonts w:hint="eastAsia" w:eastAsia="宋体"/>
                      <w:lang w:eastAsia="zh-CN"/>
                    </w:rPr>
                  </w:pPr>
                  <w:r>
                    <w:rPr>
                      <w:rFonts w:hint="eastAsia"/>
                    </w:rPr>
                    <w:t>0.0</w:t>
                  </w:r>
                  <w:r>
                    <w:rPr>
                      <w:rFonts w:hint="eastAsia"/>
                      <w:lang w:val="en-US" w:eastAsia="zh-CN"/>
                    </w:rPr>
                    <w:t>2</w:t>
                  </w:r>
                </w:p>
              </w:tc>
              <w:tc>
                <w:tcPr>
                  <w:tcW w:w="880" w:type="dxa"/>
                  <w:vAlign w:val="center"/>
                </w:tcPr>
                <w:p w14:paraId="611A3401">
                  <w:pPr>
                    <w:pStyle w:val="15"/>
                    <w:rPr>
                      <w:rFonts w:hint="eastAsia" w:eastAsia="宋体"/>
                      <w:lang w:eastAsia="zh-CN"/>
                    </w:rPr>
                  </w:pPr>
                  <w:r>
                    <w:rPr>
                      <w:rFonts w:hint="eastAsia"/>
                    </w:rPr>
                    <w:t>0.0</w:t>
                  </w:r>
                  <w:r>
                    <w:rPr>
                      <w:rFonts w:hint="eastAsia"/>
                      <w:lang w:val="en-US" w:eastAsia="zh-CN"/>
                    </w:rPr>
                    <w:t>1</w:t>
                  </w:r>
                </w:p>
              </w:tc>
              <w:tc>
                <w:tcPr>
                  <w:tcW w:w="1024" w:type="dxa"/>
                  <w:vAlign w:val="center"/>
                </w:tcPr>
                <w:p w14:paraId="70159B3B">
                  <w:pPr>
                    <w:pStyle w:val="15"/>
                  </w:pPr>
                  <w:r>
                    <w:rPr>
                      <w:rFonts w:hint="eastAsia"/>
                    </w:rPr>
                    <w:t>1.28</w:t>
                  </w:r>
                </w:p>
              </w:tc>
            </w:tr>
            <w:tr w14:paraId="23B26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14:paraId="097C5E3F">
                  <w:pPr>
                    <w:pStyle w:val="15"/>
                  </w:pPr>
                  <w:r>
                    <w:rPr>
                      <w:rFonts w:hint="eastAsia"/>
                    </w:rPr>
                    <w:t>二氧化硫</w:t>
                  </w:r>
                </w:p>
              </w:tc>
              <w:tc>
                <w:tcPr>
                  <w:tcW w:w="695" w:type="dxa"/>
                  <w:vMerge w:val="continue"/>
                  <w:vAlign w:val="center"/>
                </w:tcPr>
                <w:p w14:paraId="1C540496">
                  <w:pPr>
                    <w:pStyle w:val="15"/>
                  </w:pPr>
                </w:p>
              </w:tc>
              <w:tc>
                <w:tcPr>
                  <w:tcW w:w="669" w:type="dxa"/>
                  <w:vAlign w:val="center"/>
                </w:tcPr>
                <w:p w14:paraId="130CA4F9">
                  <w:pPr>
                    <w:pStyle w:val="15"/>
                    <w:rPr>
                      <w:rFonts w:hint="default" w:eastAsia="宋体"/>
                      <w:lang w:val="en-US" w:eastAsia="zh-CN"/>
                    </w:rPr>
                  </w:pPr>
                  <w:r>
                    <w:rPr>
                      <w:rFonts w:hint="eastAsia"/>
                    </w:rPr>
                    <w:t>0.</w:t>
                  </w:r>
                  <w:r>
                    <w:rPr>
                      <w:rFonts w:hint="eastAsia"/>
                      <w:lang w:val="en-US" w:eastAsia="zh-CN"/>
                    </w:rPr>
                    <w:t>71</w:t>
                  </w:r>
                </w:p>
              </w:tc>
              <w:tc>
                <w:tcPr>
                  <w:tcW w:w="820" w:type="dxa"/>
                  <w:vAlign w:val="center"/>
                </w:tcPr>
                <w:p w14:paraId="27D4245B">
                  <w:pPr>
                    <w:pStyle w:val="15"/>
                    <w:rPr>
                      <w:rFonts w:hint="default" w:eastAsia="宋体"/>
                      <w:lang w:val="en-US" w:eastAsia="zh-CN"/>
                    </w:rPr>
                  </w:pPr>
                  <w:r>
                    <w:rPr>
                      <w:rFonts w:hint="eastAsia"/>
                    </w:rPr>
                    <w:t>0.</w:t>
                  </w:r>
                  <w:r>
                    <w:rPr>
                      <w:rFonts w:hint="eastAsia"/>
                      <w:lang w:val="en-US" w:eastAsia="zh-CN"/>
                    </w:rPr>
                    <w:t>44</w:t>
                  </w:r>
                </w:p>
              </w:tc>
              <w:tc>
                <w:tcPr>
                  <w:tcW w:w="992" w:type="dxa"/>
                  <w:vAlign w:val="center"/>
                </w:tcPr>
                <w:p w14:paraId="273A630E">
                  <w:pPr>
                    <w:pStyle w:val="15"/>
                  </w:pPr>
                  <w:r>
                    <w:rPr>
                      <w:rFonts w:hint="eastAsia"/>
                    </w:rPr>
                    <w:t>54.49</w:t>
                  </w:r>
                </w:p>
              </w:tc>
              <w:tc>
                <w:tcPr>
                  <w:tcW w:w="714" w:type="dxa"/>
                  <w:vMerge w:val="continue"/>
                  <w:vAlign w:val="center"/>
                </w:tcPr>
                <w:p w14:paraId="3CFB6F7E">
                  <w:pPr>
                    <w:pStyle w:val="15"/>
                  </w:pPr>
                </w:p>
              </w:tc>
              <w:tc>
                <w:tcPr>
                  <w:tcW w:w="600" w:type="dxa"/>
                  <w:vAlign w:val="center"/>
                </w:tcPr>
                <w:p w14:paraId="572BA382">
                  <w:pPr>
                    <w:pStyle w:val="15"/>
                  </w:pPr>
                  <w:r>
                    <w:rPr>
                      <w:rFonts w:hint="eastAsia"/>
                    </w:rPr>
                    <w:t>0</w:t>
                  </w:r>
                </w:p>
              </w:tc>
              <w:tc>
                <w:tcPr>
                  <w:tcW w:w="750" w:type="dxa"/>
                  <w:vAlign w:val="center"/>
                </w:tcPr>
                <w:p w14:paraId="0667C776">
                  <w:pPr>
                    <w:pStyle w:val="15"/>
                    <w:ind w:firstLine="0" w:firstLineChars="0"/>
                  </w:pPr>
                  <w:r>
                    <w:rPr>
                      <w:rFonts w:hint="eastAsia"/>
                    </w:rPr>
                    <w:t>0.</w:t>
                  </w:r>
                  <w:r>
                    <w:rPr>
                      <w:rFonts w:hint="eastAsia"/>
                      <w:lang w:val="en-US" w:eastAsia="zh-CN"/>
                    </w:rPr>
                    <w:t>71</w:t>
                  </w:r>
                </w:p>
              </w:tc>
              <w:tc>
                <w:tcPr>
                  <w:tcW w:w="880" w:type="dxa"/>
                  <w:vAlign w:val="center"/>
                </w:tcPr>
                <w:p w14:paraId="38EA4AAC">
                  <w:pPr>
                    <w:pStyle w:val="15"/>
                    <w:ind w:firstLine="0" w:firstLineChars="0"/>
                  </w:pPr>
                  <w:r>
                    <w:rPr>
                      <w:rFonts w:hint="eastAsia"/>
                    </w:rPr>
                    <w:t>0.</w:t>
                  </w:r>
                  <w:r>
                    <w:rPr>
                      <w:rFonts w:hint="eastAsia"/>
                      <w:lang w:val="en-US" w:eastAsia="zh-CN"/>
                    </w:rPr>
                    <w:t>44</w:t>
                  </w:r>
                </w:p>
              </w:tc>
              <w:tc>
                <w:tcPr>
                  <w:tcW w:w="1024" w:type="dxa"/>
                  <w:vAlign w:val="center"/>
                </w:tcPr>
                <w:p w14:paraId="04FF3730">
                  <w:pPr>
                    <w:pStyle w:val="15"/>
                    <w:ind w:firstLine="0" w:firstLineChars="0"/>
                  </w:pPr>
                  <w:r>
                    <w:rPr>
                      <w:rFonts w:hint="eastAsia"/>
                    </w:rPr>
                    <w:t>0.</w:t>
                  </w:r>
                  <w:r>
                    <w:rPr>
                      <w:rFonts w:hint="eastAsia"/>
                      <w:lang w:val="en-US" w:eastAsia="zh-CN"/>
                    </w:rPr>
                    <w:t>84</w:t>
                  </w:r>
                </w:p>
              </w:tc>
            </w:tr>
            <w:tr w14:paraId="570EE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14:paraId="34C9BE77">
                  <w:pPr>
                    <w:pStyle w:val="15"/>
                  </w:pPr>
                  <w:r>
                    <w:rPr>
                      <w:rFonts w:hint="eastAsia"/>
                    </w:rPr>
                    <w:t>氮氧化物</w:t>
                  </w:r>
                </w:p>
              </w:tc>
              <w:tc>
                <w:tcPr>
                  <w:tcW w:w="695" w:type="dxa"/>
                  <w:vMerge w:val="continue"/>
                  <w:vAlign w:val="center"/>
                </w:tcPr>
                <w:p w14:paraId="6803FB97">
                  <w:pPr>
                    <w:pStyle w:val="15"/>
                  </w:pPr>
                </w:p>
              </w:tc>
              <w:tc>
                <w:tcPr>
                  <w:tcW w:w="669" w:type="dxa"/>
                  <w:vAlign w:val="center"/>
                </w:tcPr>
                <w:p w14:paraId="4C543869">
                  <w:pPr>
                    <w:pStyle w:val="15"/>
                    <w:rPr>
                      <w:rFonts w:hint="default" w:eastAsia="宋体"/>
                      <w:lang w:val="en-US" w:eastAsia="zh-CN"/>
                    </w:rPr>
                  </w:pPr>
                  <w:r>
                    <w:rPr>
                      <w:rFonts w:hint="eastAsia"/>
                      <w:lang w:val="en-US" w:eastAsia="zh-CN"/>
                    </w:rPr>
                    <w:t>2.12</w:t>
                  </w:r>
                </w:p>
              </w:tc>
              <w:tc>
                <w:tcPr>
                  <w:tcW w:w="820" w:type="dxa"/>
                  <w:vAlign w:val="center"/>
                </w:tcPr>
                <w:p w14:paraId="66CAE7B5">
                  <w:pPr>
                    <w:pStyle w:val="15"/>
                    <w:rPr>
                      <w:rFonts w:hint="default" w:eastAsia="宋体"/>
                      <w:lang w:val="en-US" w:eastAsia="zh-CN"/>
                    </w:rPr>
                  </w:pPr>
                  <w:r>
                    <w:rPr>
                      <w:rFonts w:hint="eastAsia"/>
                      <w:lang w:val="en-US" w:eastAsia="zh-CN"/>
                    </w:rPr>
                    <w:t>1.33</w:t>
                  </w:r>
                </w:p>
              </w:tc>
              <w:tc>
                <w:tcPr>
                  <w:tcW w:w="992" w:type="dxa"/>
                  <w:vAlign w:val="center"/>
                </w:tcPr>
                <w:p w14:paraId="4D1B6C4B">
                  <w:pPr>
                    <w:pStyle w:val="15"/>
                  </w:pPr>
                  <w:r>
                    <w:rPr>
                      <w:rFonts w:hint="eastAsia"/>
                    </w:rPr>
                    <w:t>163.46</w:t>
                  </w:r>
                </w:p>
              </w:tc>
              <w:tc>
                <w:tcPr>
                  <w:tcW w:w="714" w:type="dxa"/>
                  <w:vMerge w:val="continue"/>
                  <w:vAlign w:val="center"/>
                </w:tcPr>
                <w:p w14:paraId="60A9B7F0">
                  <w:pPr>
                    <w:pStyle w:val="15"/>
                  </w:pPr>
                </w:p>
              </w:tc>
              <w:tc>
                <w:tcPr>
                  <w:tcW w:w="600" w:type="dxa"/>
                  <w:vAlign w:val="center"/>
                </w:tcPr>
                <w:p w14:paraId="459EEDD7">
                  <w:pPr>
                    <w:pStyle w:val="15"/>
                  </w:pPr>
                  <w:r>
                    <w:rPr>
                      <w:rFonts w:hint="eastAsia"/>
                    </w:rPr>
                    <w:t>0</w:t>
                  </w:r>
                </w:p>
              </w:tc>
              <w:tc>
                <w:tcPr>
                  <w:tcW w:w="750" w:type="dxa"/>
                  <w:vAlign w:val="center"/>
                </w:tcPr>
                <w:p w14:paraId="27EC0417">
                  <w:pPr>
                    <w:pStyle w:val="15"/>
                    <w:ind w:firstLine="0" w:firstLineChars="0"/>
                  </w:pPr>
                  <w:r>
                    <w:rPr>
                      <w:rFonts w:hint="eastAsia"/>
                      <w:lang w:val="en-US" w:eastAsia="zh-CN"/>
                    </w:rPr>
                    <w:t>2.12</w:t>
                  </w:r>
                </w:p>
              </w:tc>
              <w:tc>
                <w:tcPr>
                  <w:tcW w:w="880" w:type="dxa"/>
                  <w:vAlign w:val="center"/>
                </w:tcPr>
                <w:p w14:paraId="364D8810">
                  <w:pPr>
                    <w:pStyle w:val="15"/>
                    <w:ind w:firstLine="0" w:firstLineChars="0"/>
                  </w:pPr>
                  <w:r>
                    <w:rPr>
                      <w:rFonts w:hint="eastAsia"/>
                      <w:lang w:val="en-US" w:eastAsia="zh-CN"/>
                    </w:rPr>
                    <w:t>1.33</w:t>
                  </w:r>
                </w:p>
              </w:tc>
              <w:tc>
                <w:tcPr>
                  <w:tcW w:w="1024" w:type="dxa"/>
                  <w:vAlign w:val="center"/>
                </w:tcPr>
                <w:p w14:paraId="6AC34415">
                  <w:pPr>
                    <w:pStyle w:val="15"/>
                    <w:ind w:firstLine="0" w:firstLineChars="0"/>
                  </w:pPr>
                  <w:r>
                    <w:rPr>
                      <w:rFonts w:hint="eastAsia"/>
                      <w:lang w:val="en-US" w:eastAsia="zh-CN"/>
                    </w:rPr>
                    <w:t>2.53</w:t>
                  </w:r>
                </w:p>
              </w:tc>
            </w:tr>
          </w:tbl>
          <w:p w14:paraId="0A5796B5">
            <w:pPr>
              <w:pStyle w:val="17"/>
              <w:ind w:firstLine="480"/>
            </w:pPr>
            <w:r>
              <w:rPr>
                <w:rFonts w:hint="eastAsia"/>
              </w:rPr>
              <w:t>锅炉废气经布袋除尘处理后30m排气筒（DA001）外排，本项目生物质锅炉废气中颗粒物、SO</w:t>
            </w:r>
            <w:r>
              <w:rPr>
                <w:rFonts w:hint="eastAsia"/>
                <w:vertAlign w:val="subscript"/>
              </w:rPr>
              <w:t>2</w:t>
            </w:r>
            <w:r>
              <w:rPr>
                <w:rFonts w:hint="eastAsia"/>
              </w:rPr>
              <w:t>、NO</w:t>
            </w:r>
            <w:r>
              <w:rPr>
                <w:rFonts w:hint="eastAsia"/>
                <w:vertAlign w:val="subscript"/>
              </w:rPr>
              <w:t>X</w:t>
            </w:r>
            <w:r>
              <w:rPr>
                <w:rFonts w:hint="eastAsia"/>
              </w:rPr>
              <w:t>排放浓度能够满足《锅炉大气污染物排放标准》（GB13271-2014）表3中燃煤锅炉大气污染物特别排放限值。</w:t>
            </w:r>
          </w:p>
          <w:p w14:paraId="49C6CF2E">
            <w:pPr>
              <w:pStyle w:val="17"/>
              <w:ind w:firstLine="480"/>
            </w:pPr>
            <w:r>
              <w:rPr>
                <w:rFonts w:hint="eastAsia"/>
              </w:rPr>
              <w:t>（2）生产车间异味</w:t>
            </w:r>
          </w:p>
          <w:p w14:paraId="723D4803">
            <w:pPr>
              <w:pStyle w:val="17"/>
              <w:ind w:firstLine="480"/>
            </w:pPr>
            <w:r>
              <w:rPr>
                <w:rFonts w:hint="eastAsia"/>
              </w:rPr>
              <w:t>本项目生产过程除渣分拣工序和废水预处理产生异味（恶臭），主要排放特点为厨余垃圾（食物残留物），主要含有氨、硫化氢、臭气浓度。恶臭是一个感观性指标，难以定量，恶臭气体数量与管理水平有关，本项目加强管理，食物残渣用专用容器密闭存放，由环卫部门每天清运，容器在餐厨垃圾清运后及时清洗，以及在车间内安装车间排风扇，加强车间通风，废水预处理（隔油、沉淀池）已采取密闭措施。采取上述措施后，项目恶臭气体对周边环境影响不大。</w:t>
            </w:r>
          </w:p>
          <w:p w14:paraId="5875253B">
            <w:pPr>
              <w:pStyle w:val="16"/>
              <w:ind w:firstLine="482"/>
            </w:pPr>
            <w:r>
              <w:rPr>
                <w:rFonts w:hint="eastAsia"/>
              </w:rPr>
              <w:t>1.2 废气产排污情况</w:t>
            </w:r>
          </w:p>
          <w:p w14:paraId="05295AD3">
            <w:pPr>
              <w:pStyle w:val="17"/>
              <w:ind w:firstLine="480"/>
            </w:pPr>
            <w:r>
              <w:rPr>
                <w:rFonts w:hint="eastAsia"/>
              </w:rPr>
              <w:t>本项目废气产排情况详见下表。</w:t>
            </w:r>
          </w:p>
          <w:p w14:paraId="53B134E4">
            <w:pPr>
              <w:pStyle w:val="18"/>
            </w:pPr>
            <w:r>
              <w:rPr>
                <w:rFonts w:hint="eastAsia"/>
              </w:rPr>
              <w:t>表4-3  废气产排情况</w:t>
            </w:r>
          </w:p>
          <w:tbl>
            <w:tblPr>
              <w:tblStyle w:val="12"/>
              <w:tblW w:w="78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
              <w:gridCol w:w="694"/>
              <w:gridCol w:w="930"/>
              <w:gridCol w:w="940"/>
              <w:gridCol w:w="1190"/>
              <w:gridCol w:w="690"/>
              <w:gridCol w:w="850"/>
              <w:gridCol w:w="1070"/>
              <w:gridCol w:w="1090"/>
            </w:tblGrid>
            <w:tr w14:paraId="6FD25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1" w:type="dxa"/>
                  <w:vAlign w:val="center"/>
                </w:tcPr>
                <w:p w14:paraId="282D5BDA">
                  <w:pPr>
                    <w:pStyle w:val="15"/>
                  </w:pPr>
                  <w:r>
                    <w:rPr>
                      <w:rFonts w:hint="eastAsia"/>
                    </w:rPr>
                    <w:t>序号</w:t>
                  </w:r>
                </w:p>
              </w:tc>
              <w:tc>
                <w:tcPr>
                  <w:tcW w:w="694" w:type="dxa"/>
                  <w:vAlign w:val="center"/>
                </w:tcPr>
                <w:p w14:paraId="2187EFD0">
                  <w:pPr>
                    <w:pStyle w:val="15"/>
                  </w:pPr>
                  <w:r>
                    <w:rPr>
                      <w:rFonts w:hint="eastAsia"/>
                    </w:rPr>
                    <w:t>排放源</w:t>
                  </w:r>
                </w:p>
              </w:tc>
              <w:tc>
                <w:tcPr>
                  <w:tcW w:w="930" w:type="dxa"/>
                  <w:vAlign w:val="center"/>
                </w:tcPr>
                <w:p w14:paraId="42262144">
                  <w:pPr>
                    <w:pStyle w:val="15"/>
                  </w:pPr>
                  <w:r>
                    <w:rPr>
                      <w:rFonts w:hint="eastAsia"/>
                    </w:rPr>
                    <w:t>污染物</w:t>
                  </w:r>
                </w:p>
              </w:tc>
              <w:tc>
                <w:tcPr>
                  <w:tcW w:w="940" w:type="dxa"/>
                  <w:vAlign w:val="center"/>
                </w:tcPr>
                <w:p w14:paraId="787B1115">
                  <w:pPr>
                    <w:pStyle w:val="15"/>
                  </w:pPr>
                  <w:r>
                    <w:rPr>
                      <w:rFonts w:hint="eastAsia"/>
                    </w:rPr>
                    <w:t>产生量（t/a）</w:t>
                  </w:r>
                </w:p>
              </w:tc>
              <w:tc>
                <w:tcPr>
                  <w:tcW w:w="1190" w:type="dxa"/>
                  <w:vAlign w:val="center"/>
                </w:tcPr>
                <w:p w14:paraId="60E2163E">
                  <w:pPr>
                    <w:pStyle w:val="15"/>
                  </w:pPr>
                  <w:r>
                    <w:rPr>
                      <w:rFonts w:hint="eastAsia"/>
                    </w:rPr>
                    <w:t>处理措施</w:t>
                  </w:r>
                </w:p>
              </w:tc>
              <w:tc>
                <w:tcPr>
                  <w:tcW w:w="690" w:type="dxa"/>
                  <w:vAlign w:val="center"/>
                </w:tcPr>
                <w:p w14:paraId="4F0E4DF7">
                  <w:pPr>
                    <w:pStyle w:val="15"/>
                  </w:pPr>
                  <w:r>
                    <w:rPr>
                      <w:rFonts w:hint="eastAsia"/>
                    </w:rPr>
                    <w:t>排放方式</w:t>
                  </w:r>
                </w:p>
              </w:tc>
              <w:tc>
                <w:tcPr>
                  <w:tcW w:w="850" w:type="dxa"/>
                  <w:vAlign w:val="center"/>
                </w:tcPr>
                <w:p w14:paraId="41847953">
                  <w:pPr>
                    <w:pStyle w:val="15"/>
                  </w:pPr>
                  <w:r>
                    <w:rPr>
                      <w:rFonts w:hint="eastAsia"/>
                    </w:rPr>
                    <w:t>排放量（t/a）</w:t>
                  </w:r>
                </w:p>
              </w:tc>
              <w:tc>
                <w:tcPr>
                  <w:tcW w:w="1070" w:type="dxa"/>
                  <w:vAlign w:val="center"/>
                </w:tcPr>
                <w:p w14:paraId="3CA20E85">
                  <w:pPr>
                    <w:pStyle w:val="15"/>
                  </w:pPr>
                  <w:r>
                    <w:rPr>
                      <w:rFonts w:hint="eastAsia"/>
                    </w:rPr>
                    <w:t>排放速率（kg/h）</w:t>
                  </w:r>
                </w:p>
              </w:tc>
              <w:tc>
                <w:tcPr>
                  <w:tcW w:w="1090" w:type="dxa"/>
                  <w:vAlign w:val="center"/>
                </w:tcPr>
                <w:p w14:paraId="35643412">
                  <w:pPr>
                    <w:pStyle w:val="15"/>
                  </w:pPr>
                  <w:r>
                    <w:rPr>
                      <w:rFonts w:hint="eastAsia"/>
                    </w:rPr>
                    <w:t>排放浓度（mg/m</w:t>
                  </w:r>
                  <w:r>
                    <w:rPr>
                      <w:rFonts w:hint="eastAsia"/>
                      <w:vertAlign w:val="superscript"/>
                    </w:rPr>
                    <w:t>3</w:t>
                  </w:r>
                  <w:r>
                    <w:rPr>
                      <w:rFonts w:hint="eastAsia"/>
                    </w:rPr>
                    <w:t>）</w:t>
                  </w:r>
                </w:p>
              </w:tc>
            </w:tr>
            <w:tr w14:paraId="536E2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dxa"/>
                  <w:vMerge w:val="restart"/>
                  <w:vAlign w:val="center"/>
                </w:tcPr>
                <w:p w14:paraId="3A6B5929">
                  <w:pPr>
                    <w:pStyle w:val="15"/>
                  </w:pPr>
                  <w:r>
                    <w:rPr>
                      <w:rFonts w:hint="eastAsia"/>
                    </w:rPr>
                    <w:t>1</w:t>
                  </w:r>
                </w:p>
              </w:tc>
              <w:tc>
                <w:tcPr>
                  <w:tcW w:w="694" w:type="dxa"/>
                  <w:vMerge w:val="restart"/>
                  <w:vAlign w:val="center"/>
                </w:tcPr>
                <w:p w14:paraId="7F63EA37">
                  <w:pPr>
                    <w:pStyle w:val="15"/>
                  </w:pPr>
                  <w:r>
                    <w:rPr>
                      <w:rFonts w:hint="eastAsia"/>
                    </w:rPr>
                    <w:t>锅炉废气</w:t>
                  </w:r>
                </w:p>
              </w:tc>
              <w:tc>
                <w:tcPr>
                  <w:tcW w:w="930" w:type="dxa"/>
                  <w:vAlign w:val="center"/>
                </w:tcPr>
                <w:p w14:paraId="52C952F3">
                  <w:pPr>
                    <w:pStyle w:val="15"/>
                  </w:pPr>
                  <w:r>
                    <w:rPr>
                      <w:rFonts w:hint="eastAsia"/>
                    </w:rPr>
                    <w:t>颗粒物</w:t>
                  </w:r>
                </w:p>
              </w:tc>
              <w:tc>
                <w:tcPr>
                  <w:tcW w:w="940" w:type="dxa"/>
                  <w:vAlign w:val="center"/>
                </w:tcPr>
                <w:p w14:paraId="6604D1CC">
                  <w:pPr>
                    <w:pStyle w:val="15"/>
                    <w:ind w:firstLine="0" w:firstLineChars="0"/>
                  </w:pPr>
                  <w:r>
                    <w:rPr>
                      <w:rFonts w:hint="eastAsia"/>
                      <w:lang w:val="en-US" w:eastAsia="zh-CN"/>
                    </w:rPr>
                    <w:t>1.04</w:t>
                  </w:r>
                </w:p>
              </w:tc>
              <w:tc>
                <w:tcPr>
                  <w:tcW w:w="1190" w:type="dxa"/>
                  <w:vMerge w:val="restart"/>
                  <w:vAlign w:val="center"/>
                </w:tcPr>
                <w:p w14:paraId="55BC4B23">
                  <w:pPr>
                    <w:pStyle w:val="15"/>
                  </w:pPr>
                  <w:r>
                    <w:rPr>
                      <w:rFonts w:hint="eastAsia"/>
                    </w:rPr>
                    <w:t>布袋</w:t>
                  </w:r>
                  <w:r>
                    <w:rPr>
                      <w:rFonts w:hint="eastAsia"/>
                      <w:lang w:val="en-US" w:eastAsia="zh-CN"/>
                    </w:rPr>
                    <w:t>除尘+</w:t>
                  </w:r>
                  <w:r>
                    <w:rPr>
                      <w:rFonts w:hint="eastAsia"/>
                    </w:rPr>
                    <w:t>30m排气筒（DA001）</w:t>
                  </w:r>
                </w:p>
              </w:tc>
              <w:tc>
                <w:tcPr>
                  <w:tcW w:w="690" w:type="dxa"/>
                  <w:vMerge w:val="restart"/>
                  <w:vAlign w:val="center"/>
                </w:tcPr>
                <w:p w14:paraId="695162C9">
                  <w:pPr>
                    <w:pStyle w:val="15"/>
                  </w:pPr>
                  <w:r>
                    <w:rPr>
                      <w:rFonts w:hint="eastAsia"/>
                    </w:rPr>
                    <w:t>有组织</w:t>
                  </w:r>
                </w:p>
              </w:tc>
              <w:tc>
                <w:tcPr>
                  <w:tcW w:w="850" w:type="dxa"/>
                  <w:vAlign w:val="center"/>
                </w:tcPr>
                <w:p w14:paraId="7CB74342">
                  <w:pPr>
                    <w:pStyle w:val="15"/>
                    <w:ind w:firstLine="0" w:firstLineChars="0"/>
                  </w:pPr>
                  <w:r>
                    <w:rPr>
                      <w:rFonts w:hint="eastAsia"/>
                    </w:rPr>
                    <w:t>0.0</w:t>
                  </w:r>
                  <w:r>
                    <w:rPr>
                      <w:rFonts w:hint="eastAsia"/>
                      <w:lang w:val="en-US" w:eastAsia="zh-CN"/>
                    </w:rPr>
                    <w:t>2</w:t>
                  </w:r>
                </w:p>
              </w:tc>
              <w:tc>
                <w:tcPr>
                  <w:tcW w:w="1070" w:type="dxa"/>
                  <w:vAlign w:val="center"/>
                </w:tcPr>
                <w:p w14:paraId="18D2E33E">
                  <w:pPr>
                    <w:pStyle w:val="15"/>
                    <w:ind w:firstLine="0" w:firstLineChars="0"/>
                  </w:pPr>
                  <w:r>
                    <w:rPr>
                      <w:rFonts w:hint="eastAsia"/>
                    </w:rPr>
                    <w:t>0.0</w:t>
                  </w:r>
                  <w:r>
                    <w:rPr>
                      <w:rFonts w:hint="eastAsia"/>
                      <w:lang w:val="en-US" w:eastAsia="zh-CN"/>
                    </w:rPr>
                    <w:t>1</w:t>
                  </w:r>
                </w:p>
              </w:tc>
              <w:tc>
                <w:tcPr>
                  <w:tcW w:w="1090" w:type="dxa"/>
                  <w:vAlign w:val="center"/>
                </w:tcPr>
                <w:p w14:paraId="55498FAE">
                  <w:pPr>
                    <w:pStyle w:val="15"/>
                    <w:ind w:firstLine="0" w:firstLineChars="0"/>
                  </w:pPr>
                  <w:r>
                    <w:rPr>
                      <w:rFonts w:hint="eastAsia"/>
                    </w:rPr>
                    <w:t>1.28</w:t>
                  </w:r>
                </w:p>
              </w:tc>
            </w:tr>
            <w:tr w14:paraId="258F3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dxa"/>
                  <w:vMerge w:val="continue"/>
                  <w:vAlign w:val="center"/>
                </w:tcPr>
                <w:p w14:paraId="75A5ABFB">
                  <w:pPr>
                    <w:pStyle w:val="15"/>
                  </w:pPr>
                </w:p>
              </w:tc>
              <w:tc>
                <w:tcPr>
                  <w:tcW w:w="694" w:type="dxa"/>
                  <w:vMerge w:val="continue"/>
                  <w:vAlign w:val="center"/>
                </w:tcPr>
                <w:p w14:paraId="60839065">
                  <w:pPr>
                    <w:pStyle w:val="15"/>
                  </w:pPr>
                </w:p>
              </w:tc>
              <w:tc>
                <w:tcPr>
                  <w:tcW w:w="930" w:type="dxa"/>
                  <w:vAlign w:val="center"/>
                </w:tcPr>
                <w:p w14:paraId="682FCBEF">
                  <w:pPr>
                    <w:pStyle w:val="15"/>
                  </w:pPr>
                  <w:r>
                    <w:rPr>
                      <w:rFonts w:hint="eastAsia"/>
                    </w:rPr>
                    <w:t>二氧化硫</w:t>
                  </w:r>
                </w:p>
              </w:tc>
              <w:tc>
                <w:tcPr>
                  <w:tcW w:w="940" w:type="dxa"/>
                  <w:vAlign w:val="center"/>
                </w:tcPr>
                <w:p w14:paraId="5C2CB759">
                  <w:pPr>
                    <w:pStyle w:val="15"/>
                    <w:ind w:firstLine="0" w:firstLineChars="0"/>
                  </w:pPr>
                  <w:r>
                    <w:rPr>
                      <w:rFonts w:hint="eastAsia"/>
                    </w:rPr>
                    <w:t>0.</w:t>
                  </w:r>
                  <w:r>
                    <w:rPr>
                      <w:rFonts w:hint="eastAsia"/>
                      <w:lang w:val="en-US" w:eastAsia="zh-CN"/>
                    </w:rPr>
                    <w:t>71</w:t>
                  </w:r>
                </w:p>
              </w:tc>
              <w:tc>
                <w:tcPr>
                  <w:tcW w:w="1190" w:type="dxa"/>
                  <w:vMerge w:val="continue"/>
                  <w:vAlign w:val="center"/>
                </w:tcPr>
                <w:p w14:paraId="7CB370D3">
                  <w:pPr>
                    <w:pStyle w:val="15"/>
                  </w:pPr>
                </w:p>
              </w:tc>
              <w:tc>
                <w:tcPr>
                  <w:tcW w:w="690" w:type="dxa"/>
                  <w:vMerge w:val="continue"/>
                  <w:vAlign w:val="center"/>
                </w:tcPr>
                <w:p w14:paraId="46D42332">
                  <w:pPr>
                    <w:pStyle w:val="15"/>
                  </w:pPr>
                </w:p>
              </w:tc>
              <w:tc>
                <w:tcPr>
                  <w:tcW w:w="850" w:type="dxa"/>
                  <w:vAlign w:val="center"/>
                </w:tcPr>
                <w:p w14:paraId="250EAA24">
                  <w:pPr>
                    <w:pStyle w:val="15"/>
                    <w:ind w:firstLine="0" w:firstLineChars="0"/>
                  </w:pPr>
                  <w:r>
                    <w:rPr>
                      <w:rFonts w:hint="eastAsia"/>
                    </w:rPr>
                    <w:t>0.</w:t>
                  </w:r>
                  <w:r>
                    <w:rPr>
                      <w:rFonts w:hint="eastAsia"/>
                      <w:lang w:val="en-US" w:eastAsia="zh-CN"/>
                    </w:rPr>
                    <w:t>71</w:t>
                  </w:r>
                </w:p>
              </w:tc>
              <w:tc>
                <w:tcPr>
                  <w:tcW w:w="1070" w:type="dxa"/>
                  <w:vAlign w:val="center"/>
                </w:tcPr>
                <w:p w14:paraId="3649ECDF">
                  <w:pPr>
                    <w:pStyle w:val="15"/>
                    <w:ind w:firstLine="0" w:firstLineChars="0"/>
                  </w:pPr>
                  <w:r>
                    <w:rPr>
                      <w:rFonts w:hint="eastAsia"/>
                    </w:rPr>
                    <w:t>0.</w:t>
                  </w:r>
                  <w:r>
                    <w:rPr>
                      <w:rFonts w:hint="eastAsia"/>
                      <w:lang w:val="en-US" w:eastAsia="zh-CN"/>
                    </w:rPr>
                    <w:t>44</w:t>
                  </w:r>
                </w:p>
              </w:tc>
              <w:tc>
                <w:tcPr>
                  <w:tcW w:w="1090" w:type="dxa"/>
                  <w:vAlign w:val="center"/>
                </w:tcPr>
                <w:p w14:paraId="22491103">
                  <w:pPr>
                    <w:pStyle w:val="15"/>
                    <w:ind w:firstLine="0" w:firstLineChars="0"/>
                  </w:pPr>
                  <w:r>
                    <w:rPr>
                      <w:rFonts w:hint="eastAsia"/>
                    </w:rPr>
                    <w:t>0.</w:t>
                  </w:r>
                  <w:r>
                    <w:rPr>
                      <w:rFonts w:hint="eastAsia"/>
                      <w:lang w:val="en-US" w:eastAsia="zh-CN"/>
                    </w:rPr>
                    <w:t>84</w:t>
                  </w:r>
                </w:p>
              </w:tc>
            </w:tr>
            <w:tr w14:paraId="31BCF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dxa"/>
                  <w:vMerge w:val="continue"/>
                  <w:vAlign w:val="center"/>
                </w:tcPr>
                <w:p w14:paraId="45EB2C7E">
                  <w:pPr>
                    <w:pStyle w:val="15"/>
                  </w:pPr>
                </w:p>
              </w:tc>
              <w:tc>
                <w:tcPr>
                  <w:tcW w:w="694" w:type="dxa"/>
                  <w:vMerge w:val="continue"/>
                  <w:vAlign w:val="center"/>
                </w:tcPr>
                <w:p w14:paraId="0FA7CB76">
                  <w:pPr>
                    <w:pStyle w:val="15"/>
                  </w:pPr>
                </w:p>
              </w:tc>
              <w:tc>
                <w:tcPr>
                  <w:tcW w:w="930" w:type="dxa"/>
                  <w:vAlign w:val="center"/>
                </w:tcPr>
                <w:p w14:paraId="13EC4CE1">
                  <w:pPr>
                    <w:pStyle w:val="15"/>
                  </w:pPr>
                  <w:r>
                    <w:rPr>
                      <w:rFonts w:hint="eastAsia"/>
                    </w:rPr>
                    <w:t>氮氧化物</w:t>
                  </w:r>
                </w:p>
              </w:tc>
              <w:tc>
                <w:tcPr>
                  <w:tcW w:w="940" w:type="dxa"/>
                  <w:vAlign w:val="center"/>
                </w:tcPr>
                <w:p w14:paraId="752ADC2D">
                  <w:pPr>
                    <w:pStyle w:val="15"/>
                    <w:ind w:firstLine="0" w:firstLineChars="0"/>
                  </w:pPr>
                  <w:r>
                    <w:rPr>
                      <w:rFonts w:hint="eastAsia"/>
                      <w:lang w:val="en-US" w:eastAsia="zh-CN"/>
                    </w:rPr>
                    <w:t>2.12</w:t>
                  </w:r>
                </w:p>
              </w:tc>
              <w:tc>
                <w:tcPr>
                  <w:tcW w:w="1190" w:type="dxa"/>
                  <w:vMerge w:val="continue"/>
                  <w:vAlign w:val="center"/>
                </w:tcPr>
                <w:p w14:paraId="5CE507D6">
                  <w:pPr>
                    <w:pStyle w:val="15"/>
                  </w:pPr>
                </w:p>
              </w:tc>
              <w:tc>
                <w:tcPr>
                  <w:tcW w:w="690" w:type="dxa"/>
                  <w:vMerge w:val="continue"/>
                  <w:vAlign w:val="center"/>
                </w:tcPr>
                <w:p w14:paraId="47B3B6FE">
                  <w:pPr>
                    <w:pStyle w:val="15"/>
                  </w:pPr>
                </w:p>
              </w:tc>
              <w:tc>
                <w:tcPr>
                  <w:tcW w:w="850" w:type="dxa"/>
                  <w:vAlign w:val="center"/>
                </w:tcPr>
                <w:p w14:paraId="4D37809F">
                  <w:pPr>
                    <w:pStyle w:val="15"/>
                    <w:ind w:firstLine="0" w:firstLineChars="0"/>
                  </w:pPr>
                  <w:r>
                    <w:rPr>
                      <w:rFonts w:hint="eastAsia"/>
                      <w:lang w:val="en-US" w:eastAsia="zh-CN"/>
                    </w:rPr>
                    <w:t>2.12</w:t>
                  </w:r>
                </w:p>
              </w:tc>
              <w:tc>
                <w:tcPr>
                  <w:tcW w:w="1070" w:type="dxa"/>
                  <w:vAlign w:val="center"/>
                </w:tcPr>
                <w:p w14:paraId="773CEA02">
                  <w:pPr>
                    <w:pStyle w:val="15"/>
                    <w:ind w:firstLine="0" w:firstLineChars="0"/>
                  </w:pPr>
                  <w:r>
                    <w:rPr>
                      <w:rFonts w:hint="eastAsia"/>
                      <w:lang w:val="en-US" w:eastAsia="zh-CN"/>
                    </w:rPr>
                    <w:t>1.33</w:t>
                  </w:r>
                </w:p>
              </w:tc>
              <w:tc>
                <w:tcPr>
                  <w:tcW w:w="1090" w:type="dxa"/>
                  <w:vAlign w:val="center"/>
                </w:tcPr>
                <w:p w14:paraId="024C0329">
                  <w:pPr>
                    <w:pStyle w:val="15"/>
                    <w:ind w:firstLine="0" w:firstLineChars="0"/>
                  </w:pPr>
                  <w:r>
                    <w:rPr>
                      <w:rFonts w:hint="eastAsia"/>
                      <w:lang w:val="en-US" w:eastAsia="zh-CN"/>
                    </w:rPr>
                    <w:t>2.53</w:t>
                  </w:r>
                </w:p>
              </w:tc>
            </w:tr>
            <w:tr w14:paraId="10DF0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dxa"/>
                  <w:vAlign w:val="center"/>
                </w:tcPr>
                <w:p w14:paraId="20369248">
                  <w:pPr>
                    <w:pStyle w:val="15"/>
                  </w:pPr>
                  <w:r>
                    <w:rPr>
                      <w:rFonts w:hint="eastAsia"/>
                    </w:rPr>
                    <w:t>2</w:t>
                  </w:r>
                </w:p>
              </w:tc>
              <w:tc>
                <w:tcPr>
                  <w:tcW w:w="694" w:type="dxa"/>
                  <w:vAlign w:val="center"/>
                </w:tcPr>
                <w:p w14:paraId="694ABFE9">
                  <w:pPr>
                    <w:pStyle w:val="15"/>
                  </w:pPr>
                  <w:r>
                    <w:rPr>
                      <w:rFonts w:hint="eastAsia"/>
                    </w:rPr>
                    <w:t>生产车间异味</w:t>
                  </w:r>
                </w:p>
              </w:tc>
              <w:tc>
                <w:tcPr>
                  <w:tcW w:w="930" w:type="dxa"/>
                  <w:vAlign w:val="center"/>
                </w:tcPr>
                <w:p w14:paraId="11939B01">
                  <w:pPr>
                    <w:pStyle w:val="15"/>
                  </w:pPr>
                  <w:r>
                    <w:rPr>
                      <w:rFonts w:hint="eastAsia"/>
                    </w:rPr>
                    <w:t>氨、硫化氢、臭气浓度</w:t>
                  </w:r>
                </w:p>
              </w:tc>
              <w:tc>
                <w:tcPr>
                  <w:tcW w:w="940" w:type="dxa"/>
                  <w:vAlign w:val="center"/>
                </w:tcPr>
                <w:p w14:paraId="3E064F26">
                  <w:pPr>
                    <w:pStyle w:val="15"/>
                  </w:pPr>
                  <w:r>
                    <w:rPr>
                      <w:rFonts w:hint="eastAsia"/>
                    </w:rPr>
                    <w:t>/</w:t>
                  </w:r>
                </w:p>
              </w:tc>
              <w:tc>
                <w:tcPr>
                  <w:tcW w:w="1190" w:type="dxa"/>
                  <w:vAlign w:val="center"/>
                </w:tcPr>
                <w:p w14:paraId="43BD1E31">
                  <w:pPr>
                    <w:pStyle w:val="15"/>
                  </w:pPr>
                  <w:r>
                    <w:t>加强管理</w:t>
                  </w:r>
                </w:p>
              </w:tc>
              <w:tc>
                <w:tcPr>
                  <w:tcW w:w="690" w:type="dxa"/>
                  <w:vAlign w:val="center"/>
                </w:tcPr>
                <w:p w14:paraId="58AB5FEC">
                  <w:pPr>
                    <w:pStyle w:val="15"/>
                  </w:pPr>
                  <w:r>
                    <w:rPr>
                      <w:rFonts w:hint="eastAsia"/>
                    </w:rPr>
                    <w:t>无组织</w:t>
                  </w:r>
                </w:p>
              </w:tc>
              <w:tc>
                <w:tcPr>
                  <w:tcW w:w="850" w:type="dxa"/>
                  <w:vAlign w:val="center"/>
                </w:tcPr>
                <w:p w14:paraId="3EFC4A9B">
                  <w:pPr>
                    <w:pStyle w:val="15"/>
                  </w:pPr>
                  <w:r>
                    <w:rPr>
                      <w:rFonts w:hint="eastAsia"/>
                    </w:rPr>
                    <w:t>/</w:t>
                  </w:r>
                </w:p>
              </w:tc>
              <w:tc>
                <w:tcPr>
                  <w:tcW w:w="1070" w:type="dxa"/>
                  <w:vAlign w:val="center"/>
                </w:tcPr>
                <w:p w14:paraId="15ACAB29">
                  <w:pPr>
                    <w:pStyle w:val="15"/>
                  </w:pPr>
                  <w:r>
                    <w:rPr>
                      <w:rFonts w:hint="eastAsia"/>
                    </w:rPr>
                    <w:t>/</w:t>
                  </w:r>
                </w:p>
              </w:tc>
              <w:tc>
                <w:tcPr>
                  <w:tcW w:w="1090" w:type="dxa"/>
                  <w:vAlign w:val="center"/>
                </w:tcPr>
                <w:p w14:paraId="77A1601A">
                  <w:pPr>
                    <w:pStyle w:val="15"/>
                  </w:pPr>
                  <w:r>
                    <w:rPr>
                      <w:rFonts w:hint="eastAsia"/>
                    </w:rPr>
                    <w:t>/</w:t>
                  </w:r>
                </w:p>
              </w:tc>
            </w:tr>
          </w:tbl>
          <w:p w14:paraId="0051711F">
            <w:pPr>
              <w:pStyle w:val="16"/>
              <w:ind w:firstLine="482"/>
            </w:pPr>
            <w:r>
              <w:t>1.</w:t>
            </w:r>
            <w:r>
              <w:rPr>
                <w:rFonts w:hint="eastAsia"/>
              </w:rPr>
              <w:t>3 排放口情况</w:t>
            </w:r>
          </w:p>
          <w:p w14:paraId="6323E81B">
            <w:pPr>
              <w:pStyle w:val="17"/>
              <w:ind w:firstLine="480"/>
            </w:pPr>
            <w:r>
              <w:rPr>
                <w:rFonts w:hint="eastAsia"/>
              </w:rPr>
              <w:t xml:space="preserve">根据《锅炉大气污染物排放标准》（GB13271-2014）中第4节“4.5 新建锅炉房的烟囱周围半径200m距离内有建筑物时，期烟囱应高出最高建筑物3m以上”；燃生物质锅炉参照标准中表4燃煤锅炉烟囱最低允许高度执行。 </w:t>
            </w:r>
          </w:p>
          <w:p w14:paraId="767C73A4">
            <w:pPr>
              <w:pStyle w:val="17"/>
              <w:ind w:firstLine="480"/>
            </w:pPr>
            <w:r>
              <w:rPr>
                <w:rFonts w:hint="eastAsia"/>
              </w:rPr>
              <w:t>本项目生物质锅炉房装机总容量均为2.</w:t>
            </w:r>
            <w:r>
              <w:rPr>
                <w:rFonts w:hint="eastAsia"/>
                <w:lang w:val="en-US" w:eastAsia="zh-CN"/>
              </w:rPr>
              <w:t>1</w:t>
            </w:r>
            <w:r>
              <w:rPr>
                <w:rFonts w:hint="eastAsia"/>
              </w:rPr>
              <w:t>t/h，锅炉房烟囱最低允许高度为30m；根据现场调查，本项目周边200m范围内的居民区建筑最高约12m，项目排气筒高度为30m，满足“高出周围200 m范围建筑物3m以上”的要求。本项目排气筒高度设置合理。排气筒设置情况详见下表。</w:t>
            </w:r>
          </w:p>
          <w:p w14:paraId="00AE1F54">
            <w:pPr>
              <w:pStyle w:val="18"/>
            </w:pPr>
            <w:r>
              <w:rPr>
                <w:rFonts w:hint="eastAsia"/>
              </w:rPr>
              <w:t>表4-4  排气筒设置情况</w:t>
            </w:r>
          </w:p>
          <w:tbl>
            <w:tblPr>
              <w:tblStyle w:val="12"/>
              <w:tblW w:w="78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3"/>
              <w:gridCol w:w="1339"/>
              <w:gridCol w:w="900"/>
              <w:gridCol w:w="1061"/>
              <w:gridCol w:w="1154"/>
              <w:gridCol w:w="704"/>
              <w:gridCol w:w="715"/>
              <w:gridCol w:w="829"/>
            </w:tblGrid>
            <w:tr w14:paraId="07DC9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Merge w:val="restart"/>
                  <w:vAlign w:val="center"/>
                </w:tcPr>
                <w:p w14:paraId="30FC9CCB">
                  <w:pPr>
                    <w:pStyle w:val="15"/>
                  </w:pPr>
                  <w:r>
                    <w:rPr>
                      <w:rFonts w:hint="eastAsia"/>
                    </w:rPr>
                    <w:t>名称</w:t>
                  </w:r>
                </w:p>
              </w:tc>
              <w:tc>
                <w:tcPr>
                  <w:tcW w:w="2239" w:type="dxa"/>
                  <w:gridSpan w:val="2"/>
                  <w:vAlign w:val="center"/>
                </w:tcPr>
                <w:p w14:paraId="220667BD">
                  <w:pPr>
                    <w:pStyle w:val="15"/>
                  </w:pPr>
                  <w:r>
                    <w:rPr>
                      <w:rFonts w:hint="eastAsia"/>
                    </w:rPr>
                    <w:t>排放口基本情况</w:t>
                  </w:r>
                </w:p>
              </w:tc>
              <w:tc>
                <w:tcPr>
                  <w:tcW w:w="2215" w:type="dxa"/>
                  <w:gridSpan w:val="2"/>
                  <w:vAlign w:val="center"/>
                </w:tcPr>
                <w:p w14:paraId="712D0438">
                  <w:pPr>
                    <w:pStyle w:val="15"/>
                  </w:pPr>
                  <w:r>
                    <w:rPr>
                      <w:rFonts w:hint="eastAsia"/>
                    </w:rPr>
                    <w:t>排放标准</w:t>
                  </w:r>
                </w:p>
              </w:tc>
              <w:tc>
                <w:tcPr>
                  <w:tcW w:w="704" w:type="dxa"/>
                  <w:vMerge w:val="restart"/>
                  <w:vAlign w:val="center"/>
                </w:tcPr>
                <w:p w14:paraId="2EE7556C">
                  <w:pPr>
                    <w:pStyle w:val="15"/>
                  </w:pPr>
                  <w:r>
                    <w:rPr>
                      <w:rFonts w:hint="eastAsia"/>
                    </w:rPr>
                    <w:t>高度（m）</w:t>
                  </w:r>
                </w:p>
              </w:tc>
              <w:tc>
                <w:tcPr>
                  <w:tcW w:w="715" w:type="dxa"/>
                  <w:vMerge w:val="restart"/>
                  <w:vAlign w:val="center"/>
                </w:tcPr>
                <w:p w14:paraId="529903BD">
                  <w:pPr>
                    <w:pStyle w:val="15"/>
                  </w:pPr>
                  <w:r>
                    <w:rPr>
                      <w:rFonts w:hint="eastAsia"/>
                    </w:rPr>
                    <w:t>内径（m）</w:t>
                  </w:r>
                </w:p>
              </w:tc>
              <w:tc>
                <w:tcPr>
                  <w:tcW w:w="829" w:type="dxa"/>
                  <w:vMerge w:val="restart"/>
                  <w:vAlign w:val="center"/>
                </w:tcPr>
                <w:p w14:paraId="13675C58">
                  <w:pPr>
                    <w:pStyle w:val="15"/>
                  </w:pPr>
                  <w:r>
                    <w:rPr>
                      <w:rFonts w:hint="eastAsia"/>
                    </w:rPr>
                    <w:t>温度（℃）</w:t>
                  </w:r>
                </w:p>
              </w:tc>
            </w:tr>
            <w:tr w14:paraId="21864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Merge w:val="continue"/>
                  <w:vAlign w:val="center"/>
                </w:tcPr>
                <w:p w14:paraId="18E51F68">
                  <w:pPr>
                    <w:pStyle w:val="15"/>
                  </w:pPr>
                </w:p>
              </w:tc>
              <w:tc>
                <w:tcPr>
                  <w:tcW w:w="1339" w:type="dxa"/>
                  <w:vAlign w:val="center"/>
                </w:tcPr>
                <w:p w14:paraId="07E24565">
                  <w:pPr>
                    <w:pStyle w:val="15"/>
                  </w:pPr>
                  <w:r>
                    <w:rPr>
                      <w:rFonts w:hint="eastAsia"/>
                    </w:rPr>
                    <w:t>坐标</w:t>
                  </w:r>
                </w:p>
              </w:tc>
              <w:tc>
                <w:tcPr>
                  <w:tcW w:w="900" w:type="dxa"/>
                  <w:vAlign w:val="center"/>
                </w:tcPr>
                <w:p w14:paraId="3A79F902">
                  <w:pPr>
                    <w:pStyle w:val="15"/>
                  </w:pPr>
                  <w:r>
                    <w:rPr>
                      <w:rFonts w:hint="eastAsia"/>
                    </w:rPr>
                    <w:t>类型</w:t>
                  </w:r>
                </w:p>
              </w:tc>
              <w:tc>
                <w:tcPr>
                  <w:tcW w:w="1061" w:type="dxa"/>
                  <w:vAlign w:val="center"/>
                </w:tcPr>
                <w:p w14:paraId="1989AFDE">
                  <w:pPr>
                    <w:pStyle w:val="15"/>
                  </w:pPr>
                  <w:r>
                    <w:rPr>
                      <w:rFonts w:hint="eastAsia"/>
                    </w:rPr>
                    <w:t>污染物种类</w:t>
                  </w:r>
                </w:p>
              </w:tc>
              <w:tc>
                <w:tcPr>
                  <w:tcW w:w="1154" w:type="dxa"/>
                  <w:vAlign w:val="center"/>
                </w:tcPr>
                <w:p w14:paraId="087FF71E">
                  <w:pPr>
                    <w:pStyle w:val="15"/>
                  </w:pPr>
                  <w:r>
                    <w:rPr>
                      <w:rFonts w:hint="eastAsia"/>
                    </w:rPr>
                    <w:t>浓度限值（mg/m</w:t>
                  </w:r>
                  <w:r>
                    <w:rPr>
                      <w:rFonts w:hint="eastAsia"/>
                      <w:vertAlign w:val="superscript"/>
                    </w:rPr>
                    <w:t>3</w:t>
                  </w:r>
                  <w:r>
                    <w:rPr>
                      <w:rFonts w:hint="eastAsia"/>
                    </w:rPr>
                    <w:t>）</w:t>
                  </w:r>
                </w:p>
              </w:tc>
              <w:tc>
                <w:tcPr>
                  <w:tcW w:w="704" w:type="dxa"/>
                  <w:vMerge w:val="continue"/>
                  <w:vAlign w:val="center"/>
                </w:tcPr>
                <w:p w14:paraId="0B277957">
                  <w:pPr>
                    <w:pStyle w:val="15"/>
                  </w:pPr>
                </w:p>
              </w:tc>
              <w:tc>
                <w:tcPr>
                  <w:tcW w:w="715" w:type="dxa"/>
                  <w:vMerge w:val="continue"/>
                  <w:vAlign w:val="center"/>
                </w:tcPr>
                <w:p w14:paraId="1A1ED55F">
                  <w:pPr>
                    <w:pStyle w:val="15"/>
                  </w:pPr>
                </w:p>
              </w:tc>
              <w:tc>
                <w:tcPr>
                  <w:tcW w:w="829" w:type="dxa"/>
                  <w:vMerge w:val="continue"/>
                  <w:vAlign w:val="center"/>
                </w:tcPr>
                <w:p w14:paraId="13BB4CC3">
                  <w:pPr>
                    <w:pStyle w:val="15"/>
                  </w:pPr>
                </w:p>
              </w:tc>
            </w:tr>
            <w:tr w14:paraId="42C25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Merge w:val="restart"/>
                  <w:vAlign w:val="center"/>
                </w:tcPr>
                <w:p w14:paraId="69D4FFF9">
                  <w:pPr>
                    <w:pStyle w:val="15"/>
                  </w:pPr>
                  <w:r>
                    <w:rPr>
                      <w:rFonts w:hint="eastAsia"/>
                    </w:rPr>
                    <w:t>锅炉废气排气筒（DA001）</w:t>
                  </w:r>
                </w:p>
              </w:tc>
              <w:tc>
                <w:tcPr>
                  <w:tcW w:w="1339" w:type="dxa"/>
                  <w:vMerge w:val="restart"/>
                  <w:vAlign w:val="center"/>
                </w:tcPr>
                <w:p w14:paraId="44AE18F7">
                  <w:pPr>
                    <w:pStyle w:val="15"/>
                  </w:pPr>
                  <w:r>
                    <w:rPr>
                      <w:rFonts w:hint="eastAsia"/>
                    </w:rPr>
                    <w:t>E113.091276093，N29.164014522</w:t>
                  </w:r>
                </w:p>
              </w:tc>
              <w:tc>
                <w:tcPr>
                  <w:tcW w:w="900" w:type="dxa"/>
                  <w:vMerge w:val="restart"/>
                  <w:vAlign w:val="center"/>
                </w:tcPr>
                <w:p w14:paraId="6094FE3C">
                  <w:pPr>
                    <w:pStyle w:val="15"/>
                  </w:pPr>
                  <w:r>
                    <w:rPr>
                      <w:rFonts w:hint="eastAsia"/>
                    </w:rPr>
                    <w:t>一般排放口</w:t>
                  </w:r>
                </w:p>
              </w:tc>
              <w:tc>
                <w:tcPr>
                  <w:tcW w:w="1061" w:type="dxa"/>
                  <w:vAlign w:val="center"/>
                </w:tcPr>
                <w:p w14:paraId="0C512F1E">
                  <w:pPr>
                    <w:pStyle w:val="15"/>
                  </w:pPr>
                  <w:r>
                    <w:rPr>
                      <w:rFonts w:hint="eastAsia"/>
                    </w:rPr>
                    <w:t>颗粒物</w:t>
                  </w:r>
                </w:p>
              </w:tc>
              <w:tc>
                <w:tcPr>
                  <w:tcW w:w="1154" w:type="dxa"/>
                  <w:vAlign w:val="center"/>
                </w:tcPr>
                <w:p w14:paraId="1D33D36A">
                  <w:pPr>
                    <w:pStyle w:val="15"/>
                  </w:pPr>
                  <w:r>
                    <w:rPr>
                      <w:rFonts w:hint="eastAsia"/>
                    </w:rPr>
                    <w:t>30</w:t>
                  </w:r>
                </w:p>
              </w:tc>
              <w:tc>
                <w:tcPr>
                  <w:tcW w:w="704" w:type="dxa"/>
                  <w:vMerge w:val="restart"/>
                  <w:shd w:val="clear" w:color="auto" w:fill="auto"/>
                  <w:vAlign w:val="center"/>
                </w:tcPr>
                <w:p w14:paraId="43A150D9">
                  <w:pPr>
                    <w:pStyle w:val="15"/>
                  </w:pPr>
                  <w:r>
                    <w:rPr>
                      <w:rFonts w:hint="eastAsia"/>
                    </w:rPr>
                    <w:t>30</w:t>
                  </w:r>
                </w:p>
              </w:tc>
              <w:tc>
                <w:tcPr>
                  <w:tcW w:w="715" w:type="dxa"/>
                  <w:vMerge w:val="restart"/>
                  <w:shd w:val="clear" w:color="auto" w:fill="auto"/>
                  <w:vAlign w:val="center"/>
                </w:tcPr>
                <w:p w14:paraId="5BB88A84">
                  <w:pPr>
                    <w:pStyle w:val="15"/>
                  </w:pPr>
                  <w:r>
                    <w:rPr>
                      <w:rFonts w:hint="eastAsia"/>
                    </w:rPr>
                    <w:t>0.6</w:t>
                  </w:r>
                </w:p>
              </w:tc>
              <w:tc>
                <w:tcPr>
                  <w:tcW w:w="829" w:type="dxa"/>
                  <w:vMerge w:val="restart"/>
                  <w:shd w:val="clear" w:color="auto" w:fill="auto"/>
                  <w:vAlign w:val="center"/>
                </w:tcPr>
                <w:p w14:paraId="7A869835">
                  <w:pPr>
                    <w:pStyle w:val="15"/>
                  </w:pPr>
                  <w:r>
                    <w:rPr>
                      <w:rFonts w:hint="eastAsia"/>
                    </w:rPr>
                    <w:t>60</w:t>
                  </w:r>
                </w:p>
              </w:tc>
            </w:tr>
            <w:tr w14:paraId="073CC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Merge w:val="continue"/>
                  <w:vAlign w:val="center"/>
                </w:tcPr>
                <w:p w14:paraId="461BCCBD">
                  <w:pPr>
                    <w:pStyle w:val="15"/>
                  </w:pPr>
                </w:p>
              </w:tc>
              <w:tc>
                <w:tcPr>
                  <w:tcW w:w="1339" w:type="dxa"/>
                  <w:vMerge w:val="continue"/>
                  <w:vAlign w:val="center"/>
                </w:tcPr>
                <w:p w14:paraId="310BDFBF">
                  <w:pPr>
                    <w:pStyle w:val="15"/>
                  </w:pPr>
                </w:p>
              </w:tc>
              <w:tc>
                <w:tcPr>
                  <w:tcW w:w="900" w:type="dxa"/>
                  <w:vMerge w:val="continue"/>
                  <w:vAlign w:val="center"/>
                </w:tcPr>
                <w:p w14:paraId="404640E8">
                  <w:pPr>
                    <w:pStyle w:val="15"/>
                  </w:pPr>
                </w:p>
              </w:tc>
              <w:tc>
                <w:tcPr>
                  <w:tcW w:w="1061" w:type="dxa"/>
                  <w:vAlign w:val="center"/>
                </w:tcPr>
                <w:p w14:paraId="4E16F23B">
                  <w:pPr>
                    <w:pStyle w:val="15"/>
                  </w:pPr>
                  <w:r>
                    <w:rPr>
                      <w:rFonts w:hint="eastAsia"/>
                    </w:rPr>
                    <w:t>二氧化硫</w:t>
                  </w:r>
                </w:p>
              </w:tc>
              <w:tc>
                <w:tcPr>
                  <w:tcW w:w="1154" w:type="dxa"/>
                  <w:vAlign w:val="center"/>
                </w:tcPr>
                <w:p w14:paraId="7DE5FDFB">
                  <w:pPr>
                    <w:pStyle w:val="15"/>
                  </w:pPr>
                  <w:r>
                    <w:rPr>
                      <w:rFonts w:hint="eastAsia"/>
                    </w:rPr>
                    <w:t>200</w:t>
                  </w:r>
                </w:p>
              </w:tc>
              <w:tc>
                <w:tcPr>
                  <w:tcW w:w="704" w:type="dxa"/>
                  <w:vMerge w:val="continue"/>
                  <w:shd w:val="clear" w:color="auto" w:fill="auto"/>
                  <w:vAlign w:val="center"/>
                </w:tcPr>
                <w:p w14:paraId="7063F080">
                  <w:pPr>
                    <w:pStyle w:val="15"/>
                  </w:pPr>
                </w:p>
              </w:tc>
              <w:tc>
                <w:tcPr>
                  <w:tcW w:w="715" w:type="dxa"/>
                  <w:vMerge w:val="continue"/>
                  <w:shd w:val="clear" w:color="auto" w:fill="auto"/>
                  <w:vAlign w:val="center"/>
                </w:tcPr>
                <w:p w14:paraId="0C55B177">
                  <w:pPr>
                    <w:pStyle w:val="15"/>
                  </w:pPr>
                </w:p>
              </w:tc>
              <w:tc>
                <w:tcPr>
                  <w:tcW w:w="829" w:type="dxa"/>
                  <w:vMerge w:val="continue"/>
                  <w:shd w:val="clear" w:color="auto" w:fill="auto"/>
                  <w:vAlign w:val="center"/>
                </w:tcPr>
                <w:p w14:paraId="5CEB0A87">
                  <w:pPr>
                    <w:pStyle w:val="15"/>
                  </w:pPr>
                </w:p>
              </w:tc>
            </w:tr>
            <w:tr w14:paraId="72BAF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Merge w:val="continue"/>
                  <w:vAlign w:val="center"/>
                </w:tcPr>
                <w:p w14:paraId="62CAE63C">
                  <w:pPr>
                    <w:pStyle w:val="15"/>
                  </w:pPr>
                </w:p>
              </w:tc>
              <w:tc>
                <w:tcPr>
                  <w:tcW w:w="1339" w:type="dxa"/>
                  <w:vMerge w:val="continue"/>
                  <w:vAlign w:val="center"/>
                </w:tcPr>
                <w:p w14:paraId="62468147">
                  <w:pPr>
                    <w:pStyle w:val="15"/>
                  </w:pPr>
                </w:p>
              </w:tc>
              <w:tc>
                <w:tcPr>
                  <w:tcW w:w="900" w:type="dxa"/>
                  <w:vMerge w:val="continue"/>
                  <w:vAlign w:val="center"/>
                </w:tcPr>
                <w:p w14:paraId="0B51C478">
                  <w:pPr>
                    <w:pStyle w:val="15"/>
                  </w:pPr>
                </w:p>
              </w:tc>
              <w:tc>
                <w:tcPr>
                  <w:tcW w:w="1061" w:type="dxa"/>
                  <w:vAlign w:val="center"/>
                </w:tcPr>
                <w:p w14:paraId="5A1F3EB0">
                  <w:pPr>
                    <w:pStyle w:val="15"/>
                  </w:pPr>
                  <w:r>
                    <w:rPr>
                      <w:rFonts w:hint="eastAsia"/>
                    </w:rPr>
                    <w:t>氮氧化物</w:t>
                  </w:r>
                </w:p>
              </w:tc>
              <w:tc>
                <w:tcPr>
                  <w:tcW w:w="1154" w:type="dxa"/>
                  <w:vAlign w:val="center"/>
                </w:tcPr>
                <w:p w14:paraId="5AC56F35">
                  <w:pPr>
                    <w:pStyle w:val="15"/>
                  </w:pPr>
                  <w:r>
                    <w:rPr>
                      <w:rFonts w:hint="eastAsia"/>
                    </w:rPr>
                    <w:t>200</w:t>
                  </w:r>
                </w:p>
              </w:tc>
              <w:tc>
                <w:tcPr>
                  <w:tcW w:w="704" w:type="dxa"/>
                  <w:vMerge w:val="continue"/>
                  <w:shd w:val="clear" w:color="auto" w:fill="auto"/>
                  <w:vAlign w:val="center"/>
                </w:tcPr>
                <w:p w14:paraId="67ECA402">
                  <w:pPr>
                    <w:pStyle w:val="15"/>
                  </w:pPr>
                </w:p>
              </w:tc>
              <w:tc>
                <w:tcPr>
                  <w:tcW w:w="715" w:type="dxa"/>
                  <w:vMerge w:val="continue"/>
                  <w:shd w:val="clear" w:color="auto" w:fill="auto"/>
                  <w:vAlign w:val="center"/>
                </w:tcPr>
                <w:p w14:paraId="1120AE88">
                  <w:pPr>
                    <w:pStyle w:val="15"/>
                  </w:pPr>
                </w:p>
              </w:tc>
              <w:tc>
                <w:tcPr>
                  <w:tcW w:w="829" w:type="dxa"/>
                  <w:vMerge w:val="continue"/>
                  <w:shd w:val="clear" w:color="auto" w:fill="auto"/>
                  <w:vAlign w:val="center"/>
                </w:tcPr>
                <w:p w14:paraId="32535D6E">
                  <w:pPr>
                    <w:pStyle w:val="15"/>
                  </w:pPr>
                </w:p>
              </w:tc>
            </w:tr>
          </w:tbl>
          <w:p w14:paraId="639B4135">
            <w:pPr>
              <w:pStyle w:val="16"/>
              <w:ind w:firstLine="482"/>
            </w:pPr>
            <w:r>
              <w:rPr>
                <w:rFonts w:hint="eastAsia"/>
              </w:rPr>
              <w:t>1.4 非正常工况分析</w:t>
            </w:r>
          </w:p>
          <w:p w14:paraId="59C099F2">
            <w:pPr>
              <w:ind w:firstLine="480"/>
            </w:pPr>
            <w:r>
              <w:rPr>
                <w:rFonts w:hint="eastAsia"/>
              </w:rPr>
              <w:t>本项目非正常工况主要考虑锅炉废气处理设备故障情况下，废气污染物未经净化处理直接排放，非正常工况下主要大气污染物排放情况见下表。</w:t>
            </w:r>
          </w:p>
          <w:p w14:paraId="081D4982">
            <w:pPr>
              <w:pStyle w:val="18"/>
            </w:pPr>
            <w:r>
              <w:rPr>
                <w:rFonts w:hint="eastAsia"/>
              </w:rPr>
              <w:t>表4-5  非正常工况锅炉废气排放情况</w:t>
            </w:r>
          </w:p>
          <w:tbl>
            <w:tblPr>
              <w:tblStyle w:val="12"/>
              <w:tblW w:w="7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062"/>
              <w:gridCol w:w="1062"/>
              <w:gridCol w:w="1419"/>
              <w:gridCol w:w="1398"/>
              <w:gridCol w:w="1129"/>
              <w:gridCol w:w="1129"/>
            </w:tblGrid>
            <w:tr w14:paraId="75BD7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14:paraId="2CBC57E9">
                  <w:pPr>
                    <w:pStyle w:val="15"/>
                  </w:pPr>
                  <w:r>
                    <w:rPr>
                      <w:rFonts w:hint="eastAsia"/>
                    </w:rPr>
                    <w:t>污染源</w:t>
                  </w:r>
                </w:p>
              </w:tc>
              <w:tc>
                <w:tcPr>
                  <w:tcW w:w="1062" w:type="dxa"/>
                  <w:vAlign w:val="center"/>
                </w:tcPr>
                <w:p w14:paraId="2B10A1D4">
                  <w:pPr>
                    <w:pStyle w:val="15"/>
                  </w:pPr>
                  <w:r>
                    <w:rPr>
                      <w:rFonts w:hint="eastAsia"/>
                    </w:rPr>
                    <w:t>非正常排放原因</w:t>
                  </w:r>
                </w:p>
              </w:tc>
              <w:tc>
                <w:tcPr>
                  <w:tcW w:w="1062" w:type="dxa"/>
                  <w:vAlign w:val="center"/>
                </w:tcPr>
                <w:p w14:paraId="4BCCA75A">
                  <w:pPr>
                    <w:pStyle w:val="15"/>
                  </w:pPr>
                  <w:r>
                    <w:rPr>
                      <w:rFonts w:hint="eastAsia"/>
                    </w:rPr>
                    <w:t>污染源</w:t>
                  </w:r>
                </w:p>
              </w:tc>
              <w:tc>
                <w:tcPr>
                  <w:tcW w:w="1419" w:type="dxa"/>
                  <w:vAlign w:val="center"/>
                </w:tcPr>
                <w:p w14:paraId="2B10F6DE">
                  <w:pPr>
                    <w:pStyle w:val="15"/>
                  </w:pPr>
                  <w:r>
                    <w:rPr>
                      <w:rFonts w:hint="eastAsia"/>
                    </w:rPr>
                    <w:t>非正常排放浓度mg/m</w:t>
                  </w:r>
                  <w:r>
                    <w:rPr>
                      <w:rFonts w:hint="eastAsia"/>
                      <w:vertAlign w:val="superscript"/>
                    </w:rPr>
                    <w:t>3</w:t>
                  </w:r>
                </w:p>
              </w:tc>
              <w:tc>
                <w:tcPr>
                  <w:tcW w:w="1398" w:type="dxa"/>
                  <w:vAlign w:val="center"/>
                </w:tcPr>
                <w:p w14:paraId="7477FA6B">
                  <w:pPr>
                    <w:pStyle w:val="15"/>
                  </w:pPr>
                  <w:r>
                    <w:rPr>
                      <w:rFonts w:hint="eastAsia"/>
                    </w:rPr>
                    <w:t>非正常排放速率kg/h</w:t>
                  </w:r>
                </w:p>
              </w:tc>
              <w:tc>
                <w:tcPr>
                  <w:tcW w:w="1129" w:type="dxa"/>
                  <w:vAlign w:val="center"/>
                </w:tcPr>
                <w:p w14:paraId="213160E6">
                  <w:pPr>
                    <w:pStyle w:val="15"/>
                  </w:pPr>
                  <w:r>
                    <w:rPr>
                      <w:rFonts w:hint="eastAsia"/>
                    </w:rPr>
                    <w:t>单次持续时间h</w:t>
                  </w:r>
                </w:p>
              </w:tc>
              <w:tc>
                <w:tcPr>
                  <w:tcW w:w="1129" w:type="dxa"/>
                  <w:vAlign w:val="center"/>
                </w:tcPr>
                <w:p w14:paraId="46BE571C">
                  <w:pPr>
                    <w:pStyle w:val="15"/>
                  </w:pPr>
                  <w:r>
                    <w:rPr>
                      <w:rFonts w:hint="eastAsia"/>
                    </w:rPr>
                    <w:t>年发生频次</w:t>
                  </w:r>
                </w:p>
              </w:tc>
            </w:tr>
            <w:tr w14:paraId="45332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Merge w:val="restart"/>
                  <w:vAlign w:val="center"/>
                </w:tcPr>
                <w:p w14:paraId="47BBEBDA">
                  <w:pPr>
                    <w:pStyle w:val="15"/>
                  </w:pPr>
                  <w:r>
                    <w:rPr>
                      <w:rFonts w:hint="eastAsia"/>
                    </w:rPr>
                    <w:t>锅炉废气</w:t>
                  </w:r>
                </w:p>
              </w:tc>
              <w:tc>
                <w:tcPr>
                  <w:tcW w:w="1062" w:type="dxa"/>
                  <w:vMerge w:val="restart"/>
                  <w:vAlign w:val="center"/>
                </w:tcPr>
                <w:p w14:paraId="5B9FD6DF">
                  <w:pPr>
                    <w:pStyle w:val="15"/>
                  </w:pPr>
                  <w:r>
                    <w:rPr>
                      <w:rFonts w:hint="eastAsia"/>
                    </w:rPr>
                    <w:t>除尘器故障</w:t>
                  </w:r>
                </w:p>
              </w:tc>
              <w:tc>
                <w:tcPr>
                  <w:tcW w:w="1062" w:type="dxa"/>
                  <w:vAlign w:val="center"/>
                </w:tcPr>
                <w:p w14:paraId="3D9FEC80">
                  <w:pPr>
                    <w:pStyle w:val="15"/>
                  </w:pPr>
                  <w:r>
                    <w:rPr>
                      <w:rFonts w:hint="eastAsia"/>
                    </w:rPr>
                    <w:t>颗粒物</w:t>
                  </w:r>
                </w:p>
              </w:tc>
              <w:tc>
                <w:tcPr>
                  <w:tcW w:w="1419" w:type="dxa"/>
                  <w:vAlign w:val="center"/>
                </w:tcPr>
                <w:p w14:paraId="17582BB4">
                  <w:pPr>
                    <w:pStyle w:val="15"/>
                  </w:pPr>
                  <w:r>
                    <w:rPr>
                      <w:rFonts w:hint="eastAsia"/>
                    </w:rPr>
                    <w:t>80.13</w:t>
                  </w:r>
                </w:p>
              </w:tc>
              <w:tc>
                <w:tcPr>
                  <w:tcW w:w="1398" w:type="dxa"/>
                  <w:vAlign w:val="center"/>
                </w:tcPr>
                <w:p w14:paraId="6D5A4BF0">
                  <w:pPr>
                    <w:pStyle w:val="15"/>
                    <w:ind w:firstLine="0" w:firstLineChars="0"/>
                  </w:pPr>
                  <w:r>
                    <w:rPr>
                      <w:rFonts w:hint="eastAsia"/>
                    </w:rPr>
                    <w:t>0.</w:t>
                  </w:r>
                  <w:r>
                    <w:rPr>
                      <w:rFonts w:hint="eastAsia"/>
                      <w:lang w:val="en-US" w:eastAsia="zh-CN"/>
                    </w:rPr>
                    <w:t>65</w:t>
                  </w:r>
                </w:p>
              </w:tc>
              <w:tc>
                <w:tcPr>
                  <w:tcW w:w="1129" w:type="dxa"/>
                  <w:vAlign w:val="center"/>
                </w:tcPr>
                <w:p w14:paraId="238EB246">
                  <w:pPr>
                    <w:pStyle w:val="15"/>
                  </w:pPr>
                  <w:r>
                    <w:rPr>
                      <w:rFonts w:hint="eastAsia"/>
                    </w:rPr>
                    <w:t>1</w:t>
                  </w:r>
                </w:p>
              </w:tc>
              <w:tc>
                <w:tcPr>
                  <w:tcW w:w="1129" w:type="dxa"/>
                  <w:vMerge w:val="restart"/>
                  <w:vAlign w:val="center"/>
                </w:tcPr>
                <w:p w14:paraId="353E810C">
                  <w:pPr>
                    <w:pStyle w:val="15"/>
                  </w:pPr>
                  <w:r>
                    <w:rPr>
                      <w:rFonts w:hint="eastAsia"/>
                    </w:rPr>
                    <w:t>控制在1次内</w:t>
                  </w:r>
                </w:p>
              </w:tc>
            </w:tr>
            <w:tr w14:paraId="408C3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Merge w:val="continue"/>
                  <w:vAlign w:val="center"/>
                </w:tcPr>
                <w:p w14:paraId="59F53FB1">
                  <w:pPr>
                    <w:pStyle w:val="15"/>
                  </w:pPr>
                </w:p>
              </w:tc>
              <w:tc>
                <w:tcPr>
                  <w:tcW w:w="1062" w:type="dxa"/>
                  <w:vMerge w:val="continue"/>
                  <w:vAlign w:val="center"/>
                </w:tcPr>
                <w:p w14:paraId="2723C324">
                  <w:pPr>
                    <w:pStyle w:val="15"/>
                  </w:pPr>
                </w:p>
              </w:tc>
              <w:tc>
                <w:tcPr>
                  <w:tcW w:w="1062" w:type="dxa"/>
                  <w:vAlign w:val="center"/>
                </w:tcPr>
                <w:p w14:paraId="3E22B644">
                  <w:pPr>
                    <w:pStyle w:val="15"/>
                  </w:pPr>
                  <w:r>
                    <w:rPr>
                      <w:rFonts w:hint="eastAsia"/>
                    </w:rPr>
                    <w:t>二氧化硫</w:t>
                  </w:r>
                </w:p>
              </w:tc>
              <w:tc>
                <w:tcPr>
                  <w:tcW w:w="1419" w:type="dxa"/>
                  <w:vAlign w:val="center"/>
                </w:tcPr>
                <w:p w14:paraId="1238741C">
                  <w:pPr>
                    <w:pStyle w:val="15"/>
                  </w:pPr>
                  <w:r>
                    <w:rPr>
                      <w:rFonts w:hint="eastAsia"/>
                    </w:rPr>
                    <w:t>54.49</w:t>
                  </w:r>
                </w:p>
              </w:tc>
              <w:tc>
                <w:tcPr>
                  <w:tcW w:w="1398" w:type="dxa"/>
                  <w:vAlign w:val="center"/>
                </w:tcPr>
                <w:p w14:paraId="4F33298C">
                  <w:pPr>
                    <w:pStyle w:val="15"/>
                    <w:ind w:firstLine="0" w:firstLineChars="0"/>
                  </w:pPr>
                  <w:r>
                    <w:rPr>
                      <w:rFonts w:hint="eastAsia"/>
                    </w:rPr>
                    <w:t>0.</w:t>
                  </w:r>
                  <w:r>
                    <w:rPr>
                      <w:rFonts w:hint="eastAsia"/>
                      <w:lang w:val="en-US" w:eastAsia="zh-CN"/>
                    </w:rPr>
                    <w:t>44</w:t>
                  </w:r>
                </w:p>
              </w:tc>
              <w:tc>
                <w:tcPr>
                  <w:tcW w:w="1129" w:type="dxa"/>
                  <w:vAlign w:val="center"/>
                </w:tcPr>
                <w:p w14:paraId="3A9568C5">
                  <w:pPr>
                    <w:pStyle w:val="15"/>
                  </w:pPr>
                  <w:r>
                    <w:rPr>
                      <w:rFonts w:hint="eastAsia"/>
                    </w:rPr>
                    <w:t>1</w:t>
                  </w:r>
                </w:p>
              </w:tc>
              <w:tc>
                <w:tcPr>
                  <w:tcW w:w="1129" w:type="dxa"/>
                  <w:vMerge w:val="continue"/>
                  <w:vAlign w:val="center"/>
                </w:tcPr>
                <w:p w14:paraId="22F034BA">
                  <w:pPr>
                    <w:pStyle w:val="15"/>
                  </w:pPr>
                </w:p>
              </w:tc>
            </w:tr>
            <w:tr w14:paraId="6DDAD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Merge w:val="continue"/>
                  <w:vAlign w:val="center"/>
                </w:tcPr>
                <w:p w14:paraId="48E9CCD0">
                  <w:pPr>
                    <w:pStyle w:val="15"/>
                  </w:pPr>
                </w:p>
              </w:tc>
              <w:tc>
                <w:tcPr>
                  <w:tcW w:w="1062" w:type="dxa"/>
                  <w:vMerge w:val="continue"/>
                  <w:vAlign w:val="center"/>
                </w:tcPr>
                <w:p w14:paraId="1133FE3E">
                  <w:pPr>
                    <w:pStyle w:val="15"/>
                  </w:pPr>
                </w:p>
              </w:tc>
              <w:tc>
                <w:tcPr>
                  <w:tcW w:w="1062" w:type="dxa"/>
                  <w:vAlign w:val="center"/>
                </w:tcPr>
                <w:p w14:paraId="57BCAF7D">
                  <w:pPr>
                    <w:pStyle w:val="15"/>
                  </w:pPr>
                  <w:r>
                    <w:rPr>
                      <w:rFonts w:hint="eastAsia"/>
                    </w:rPr>
                    <w:t>氮氧化物</w:t>
                  </w:r>
                </w:p>
              </w:tc>
              <w:tc>
                <w:tcPr>
                  <w:tcW w:w="1419" w:type="dxa"/>
                  <w:vAlign w:val="center"/>
                </w:tcPr>
                <w:p w14:paraId="38DC7148">
                  <w:pPr>
                    <w:pStyle w:val="15"/>
                  </w:pPr>
                  <w:r>
                    <w:rPr>
                      <w:rFonts w:hint="eastAsia"/>
                    </w:rPr>
                    <w:t>163.46</w:t>
                  </w:r>
                </w:p>
              </w:tc>
              <w:tc>
                <w:tcPr>
                  <w:tcW w:w="1398" w:type="dxa"/>
                  <w:vAlign w:val="center"/>
                </w:tcPr>
                <w:p w14:paraId="59265F13">
                  <w:pPr>
                    <w:pStyle w:val="15"/>
                    <w:ind w:firstLine="0" w:firstLineChars="0"/>
                  </w:pPr>
                  <w:r>
                    <w:rPr>
                      <w:rFonts w:hint="eastAsia"/>
                      <w:lang w:val="en-US" w:eastAsia="zh-CN"/>
                    </w:rPr>
                    <w:t>1.33</w:t>
                  </w:r>
                </w:p>
              </w:tc>
              <w:tc>
                <w:tcPr>
                  <w:tcW w:w="1129" w:type="dxa"/>
                  <w:vAlign w:val="center"/>
                </w:tcPr>
                <w:p w14:paraId="5563F429">
                  <w:pPr>
                    <w:pStyle w:val="15"/>
                  </w:pPr>
                  <w:r>
                    <w:rPr>
                      <w:rFonts w:hint="eastAsia"/>
                    </w:rPr>
                    <w:t>1</w:t>
                  </w:r>
                </w:p>
              </w:tc>
              <w:tc>
                <w:tcPr>
                  <w:tcW w:w="1129" w:type="dxa"/>
                  <w:vMerge w:val="continue"/>
                  <w:vAlign w:val="center"/>
                </w:tcPr>
                <w:p w14:paraId="058406D3">
                  <w:pPr>
                    <w:pStyle w:val="15"/>
                  </w:pPr>
                </w:p>
              </w:tc>
            </w:tr>
          </w:tbl>
          <w:p w14:paraId="78088E1F">
            <w:pPr>
              <w:pStyle w:val="16"/>
              <w:ind w:firstLine="482"/>
            </w:pPr>
            <w:r>
              <w:rPr>
                <w:rFonts w:hint="eastAsia"/>
              </w:rPr>
              <w:t>1.5 废气处理</w:t>
            </w:r>
            <w:r>
              <w:t>措施可行性分析</w:t>
            </w:r>
          </w:p>
          <w:p w14:paraId="70F85205">
            <w:pPr>
              <w:pStyle w:val="17"/>
              <w:ind w:firstLine="480"/>
            </w:pPr>
            <w:r>
              <w:t>本项目</w:t>
            </w:r>
            <w:r>
              <w:rPr>
                <w:rFonts w:hint="eastAsia"/>
              </w:rPr>
              <w:t>锅炉</w:t>
            </w:r>
            <w:r>
              <w:t>废气污染治理设施为</w:t>
            </w:r>
            <w:r>
              <w:rPr>
                <w:rFonts w:hint="eastAsia"/>
                <w:color w:val="auto"/>
                <w:highlight w:val="none"/>
              </w:rPr>
              <w:t>布袋</w:t>
            </w:r>
            <w:r>
              <w:rPr>
                <w:rFonts w:hint="eastAsia"/>
              </w:rPr>
              <w:t>除尘</w:t>
            </w:r>
            <w:r>
              <w:t>，其工作原理</w:t>
            </w:r>
            <w:r>
              <w:rPr>
                <w:rFonts w:hint="eastAsia"/>
              </w:rPr>
              <w:t>为：含尘气体由进风道进入灰斗，粗尘粒直接落入灰斗底部，细尘粒随气流转折向上进入中、下箱体，粉尘积附在滤袋外表面，过滤后的气体进入上箱体至净气集合管排风道，经排风机排至大气。清灰过程是先切断该室的净气出口风道，使该室的布袋处于无气流通过的状态（分室停风清灰）。然后开启脉冲阀用压缩空气进行脉冲喷吹清灰，切断阀关闭时间足以保证在喷吹后从滤袋上剥离的粉尘沉降至灰斗，避免了粉尘在脱离滤袋表面后又随气流附集到相邻滤袋表面的现象，使滤袋清灰彻底，并由可编程序控制仪对排气阀及卸灰阀等进行全自动控制。</w:t>
            </w:r>
          </w:p>
          <w:p w14:paraId="0CC2F9F9">
            <w:pPr>
              <w:pStyle w:val="17"/>
              <w:ind w:firstLine="480"/>
            </w:pPr>
            <w:r>
              <w:rPr>
                <w:rFonts w:hint="eastAsia"/>
              </w:rPr>
              <w:t>根据</w:t>
            </w:r>
            <w:r>
              <w:t xml:space="preserve">《排污许可证申请与核发技术规范 </w:t>
            </w:r>
            <w:r>
              <w:rPr>
                <w:rFonts w:hint="eastAsia"/>
              </w:rPr>
              <w:t>锅炉</w:t>
            </w:r>
            <w:r>
              <w:t>》（HJ</w:t>
            </w:r>
            <w:r>
              <w:rPr>
                <w:rFonts w:hint="eastAsia"/>
              </w:rPr>
              <w:t>953</w:t>
            </w:r>
            <w:r>
              <w:t>—201</w:t>
            </w:r>
            <w:r>
              <w:rPr>
                <w:rFonts w:hint="eastAsia"/>
              </w:rPr>
              <w:t>8</w:t>
            </w:r>
            <w:r>
              <w:t>）</w:t>
            </w:r>
            <w:r>
              <w:rPr>
                <w:rFonts w:hint="eastAsia"/>
              </w:rPr>
              <w:t>，</w:t>
            </w:r>
            <w:r>
              <w:t>生物质锅炉</w:t>
            </w:r>
            <w:r>
              <w:rPr>
                <w:rFonts w:hint="eastAsia"/>
              </w:rPr>
              <w:t>产生的颗粒物经布袋除尘</w:t>
            </w:r>
            <w:r>
              <w:t>处理</w:t>
            </w:r>
            <w:r>
              <w:rPr>
                <w:rFonts w:hint="eastAsia"/>
              </w:rPr>
              <w:t>，为</w:t>
            </w:r>
            <w:r>
              <w:t>可行技术</w:t>
            </w:r>
            <w:r>
              <w:rPr>
                <w:rFonts w:hint="eastAsia"/>
              </w:rPr>
              <w:t>。经计算得出，锅炉废气能够达到《锅炉大气污染物排放标准》（GB13271-2014）中表3燃煤锅炉特别排放限值（颗粒物：30</w:t>
            </w:r>
            <w:r>
              <w:t>mg/m</w:t>
            </w:r>
            <w:r>
              <w:rPr>
                <w:vertAlign w:val="superscript"/>
              </w:rPr>
              <w:t>3</w:t>
            </w:r>
            <w:r>
              <w:rPr>
                <w:rFonts w:hint="eastAsia"/>
              </w:rPr>
              <w:t>、SO</w:t>
            </w:r>
            <w:r>
              <w:rPr>
                <w:rFonts w:hint="eastAsia"/>
                <w:vertAlign w:val="subscript"/>
              </w:rPr>
              <w:t>2</w:t>
            </w:r>
            <w:r>
              <w:rPr>
                <w:rFonts w:hint="eastAsia"/>
              </w:rPr>
              <w:t>：200</w:t>
            </w:r>
            <w:r>
              <w:t>mg/m</w:t>
            </w:r>
            <w:r>
              <w:rPr>
                <w:vertAlign w:val="superscript"/>
              </w:rPr>
              <w:t>3</w:t>
            </w:r>
            <w:r>
              <w:rPr>
                <w:rFonts w:hint="eastAsia"/>
              </w:rPr>
              <w:t>、NO</w:t>
            </w:r>
            <w:r>
              <w:rPr>
                <w:rFonts w:hint="eastAsia"/>
                <w:vertAlign w:val="subscript"/>
              </w:rPr>
              <w:t>X</w:t>
            </w:r>
            <w:r>
              <w:rPr>
                <w:rFonts w:hint="eastAsia"/>
              </w:rPr>
              <w:t>：200</w:t>
            </w:r>
            <w:r>
              <w:t>mg/m</w:t>
            </w:r>
            <w:r>
              <w:rPr>
                <w:vertAlign w:val="superscript"/>
              </w:rPr>
              <w:t>3</w:t>
            </w:r>
            <w:r>
              <w:rPr>
                <w:rFonts w:hint="eastAsia"/>
              </w:rPr>
              <w:t>）。</w:t>
            </w:r>
          </w:p>
          <w:p w14:paraId="41ADAFEF">
            <w:pPr>
              <w:pStyle w:val="17"/>
              <w:ind w:firstLine="480"/>
            </w:pPr>
            <w:r>
              <w:t>生产车间异味</w:t>
            </w:r>
            <w:r>
              <w:rPr>
                <w:rFonts w:hint="eastAsia"/>
              </w:rPr>
              <w:t>通过</w:t>
            </w:r>
            <w:r>
              <w:t>加强管理，食物残渣用专用容器密闭存放，由环卫部门每天清运，容器在餐厨垃圾清运后及时清洗，以及在车间内安装车间排风扇，加强车间通风</w:t>
            </w:r>
            <w:r>
              <w:rPr>
                <w:rFonts w:hint="eastAsia"/>
              </w:rPr>
              <w:t>等措施，对周边空气环境影响较小。</w:t>
            </w:r>
          </w:p>
          <w:p w14:paraId="203C4D64">
            <w:pPr>
              <w:pStyle w:val="16"/>
              <w:ind w:firstLine="482"/>
            </w:pPr>
            <w:r>
              <w:t>1.</w:t>
            </w:r>
            <w:r>
              <w:rPr>
                <w:rFonts w:hint="eastAsia"/>
              </w:rPr>
              <w:t>6</w:t>
            </w:r>
            <w:r>
              <w:t xml:space="preserve"> 废气监测要求</w:t>
            </w:r>
          </w:p>
          <w:p w14:paraId="63289823">
            <w:pPr>
              <w:pStyle w:val="17"/>
              <w:ind w:firstLine="480"/>
            </w:pPr>
            <w:r>
              <w:t xml:space="preserve">根据《排污单位自行监测技术指南总则》（HJ 819-2017）、《排污单位自行监测技术指南 </w:t>
            </w:r>
            <w:r>
              <w:rPr>
                <w:rFonts w:hint="eastAsia"/>
              </w:rPr>
              <w:t>火力发电及锅炉</w:t>
            </w:r>
            <w:r>
              <w:t>》（HJ 8</w:t>
            </w:r>
            <w:r>
              <w:rPr>
                <w:rFonts w:hint="eastAsia"/>
              </w:rPr>
              <w:t>20</w:t>
            </w:r>
            <w:r>
              <w:t>-2017），废气监测计划详见下表。</w:t>
            </w:r>
          </w:p>
          <w:p w14:paraId="05FB9AAC">
            <w:pPr>
              <w:pStyle w:val="18"/>
            </w:pPr>
            <w:r>
              <w:t>表4-</w:t>
            </w:r>
            <w:r>
              <w:rPr>
                <w:rFonts w:hint="eastAsia"/>
              </w:rPr>
              <w:t xml:space="preserve">6  </w:t>
            </w:r>
            <w:r>
              <w:t>运营期废气监测计划</w:t>
            </w:r>
          </w:p>
          <w:tbl>
            <w:tblPr>
              <w:tblStyle w:val="12"/>
              <w:tblW w:w="7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5"/>
              <w:gridCol w:w="2340"/>
              <w:gridCol w:w="1160"/>
              <w:gridCol w:w="2734"/>
            </w:tblGrid>
            <w:tr w14:paraId="04E5C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dxa"/>
                  <w:vAlign w:val="center"/>
                </w:tcPr>
                <w:p w14:paraId="015EEB52">
                  <w:pPr>
                    <w:pStyle w:val="15"/>
                  </w:pPr>
                  <w:r>
                    <w:rPr>
                      <w:rFonts w:hint="eastAsia"/>
                    </w:rPr>
                    <w:t>监测点位</w:t>
                  </w:r>
                </w:p>
              </w:tc>
              <w:tc>
                <w:tcPr>
                  <w:tcW w:w="2340" w:type="dxa"/>
                  <w:vAlign w:val="center"/>
                </w:tcPr>
                <w:p w14:paraId="73638F0D">
                  <w:pPr>
                    <w:pStyle w:val="15"/>
                  </w:pPr>
                  <w:r>
                    <w:rPr>
                      <w:rFonts w:hint="eastAsia"/>
                    </w:rPr>
                    <w:t>监测内容</w:t>
                  </w:r>
                </w:p>
              </w:tc>
              <w:tc>
                <w:tcPr>
                  <w:tcW w:w="1160" w:type="dxa"/>
                  <w:vAlign w:val="center"/>
                </w:tcPr>
                <w:p w14:paraId="03CFD55E">
                  <w:pPr>
                    <w:pStyle w:val="15"/>
                  </w:pPr>
                  <w:r>
                    <w:rPr>
                      <w:rFonts w:hint="eastAsia"/>
                    </w:rPr>
                    <w:t>监测频次</w:t>
                  </w:r>
                </w:p>
              </w:tc>
              <w:tc>
                <w:tcPr>
                  <w:tcW w:w="2734" w:type="dxa"/>
                  <w:vAlign w:val="center"/>
                </w:tcPr>
                <w:p w14:paraId="18FA5B50">
                  <w:pPr>
                    <w:pStyle w:val="15"/>
                  </w:pPr>
                  <w:r>
                    <w:rPr>
                      <w:rFonts w:hint="eastAsia"/>
                    </w:rPr>
                    <w:t>执行标准</w:t>
                  </w:r>
                </w:p>
              </w:tc>
            </w:tr>
            <w:tr w14:paraId="45F7B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dxa"/>
                  <w:vAlign w:val="center"/>
                </w:tcPr>
                <w:p w14:paraId="0937214C">
                  <w:pPr>
                    <w:pStyle w:val="15"/>
                  </w:pPr>
                  <w:r>
                    <w:t>锅炉废气排气筒（DA001）</w:t>
                  </w:r>
                </w:p>
              </w:tc>
              <w:tc>
                <w:tcPr>
                  <w:tcW w:w="2340" w:type="dxa"/>
                  <w:vAlign w:val="center"/>
                </w:tcPr>
                <w:p w14:paraId="582F98FC">
                  <w:pPr>
                    <w:pStyle w:val="15"/>
                  </w:pPr>
                  <w:r>
                    <w:rPr>
                      <w:rFonts w:hint="eastAsia"/>
                    </w:rPr>
                    <w:t>颗粒物、二氧化硫、氮氧化物、汞及其化合物、林格曼黑度</w:t>
                  </w:r>
                </w:p>
              </w:tc>
              <w:tc>
                <w:tcPr>
                  <w:tcW w:w="1160" w:type="dxa"/>
                  <w:vAlign w:val="center"/>
                </w:tcPr>
                <w:p w14:paraId="2302CE57">
                  <w:pPr>
                    <w:pStyle w:val="15"/>
                  </w:pPr>
                  <w:r>
                    <w:rPr>
                      <w:rFonts w:hint="eastAsia"/>
                    </w:rPr>
                    <w:t>1次/月</w:t>
                  </w:r>
                </w:p>
              </w:tc>
              <w:tc>
                <w:tcPr>
                  <w:tcW w:w="2734" w:type="dxa"/>
                  <w:vAlign w:val="center"/>
                </w:tcPr>
                <w:p w14:paraId="703F214B">
                  <w:pPr>
                    <w:pStyle w:val="15"/>
                  </w:pPr>
                  <w:r>
                    <w:t>《锅炉大气污染物排放标准》（GB13271-2014）中表3燃煤锅炉特别排放限值</w:t>
                  </w:r>
                </w:p>
              </w:tc>
            </w:tr>
            <w:tr w14:paraId="2DB5E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dxa"/>
                  <w:vAlign w:val="center"/>
                </w:tcPr>
                <w:p w14:paraId="0229EEF0">
                  <w:pPr>
                    <w:pStyle w:val="15"/>
                  </w:pPr>
                  <w:r>
                    <w:rPr>
                      <w:rFonts w:hint="eastAsia"/>
                    </w:rPr>
                    <w:t>厂界</w:t>
                  </w:r>
                </w:p>
              </w:tc>
              <w:tc>
                <w:tcPr>
                  <w:tcW w:w="2340" w:type="dxa"/>
                  <w:vAlign w:val="center"/>
                </w:tcPr>
                <w:p w14:paraId="7BD4A5D4">
                  <w:pPr>
                    <w:pStyle w:val="15"/>
                  </w:pPr>
                  <w:r>
                    <w:rPr>
                      <w:rFonts w:hint="eastAsia"/>
                    </w:rPr>
                    <w:t>氨、硫化氢、臭气浓度</w:t>
                  </w:r>
                </w:p>
              </w:tc>
              <w:tc>
                <w:tcPr>
                  <w:tcW w:w="1160" w:type="dxa"/>
                  <w:vAlign w:val="center"/>
                </w:tcPr>
                <w:p w14:paraId="737179CF">
                  <w:pPr>
                    <w:pStyle w:val="15"/>
                  </w:pPr>
                  <w:r>
                    <w:rPr>
                      <w:rFonts w:hint="eastAsia"/>
                    </w:rPr>
                    <w:t>1次/年</w:t>
                  </w:r>
                </w:p>
              </w:tc>
              <w:tc>
                <w:tcPr>
                  <w:tcW w:w="2734" w:type="dxa"/>
                  <w:vAlign w:val="center"/>
                </w:tcPr>
                <w:p w14:paraId="2990B531">
                  <w:pPr>
                    <w:pStyle w:val="15"/>
                  </w:pPr>
                  <w:r>
                    <w:t>《恶臭污染物排放标准》（GB14554-93）二级新扩改建标准</w:t>
                  </w:r>
                </w:p>
              </w:tc>
            </w:tr>
          </w:tbl>
          <w:p w14:paraId="3077AC01">
            <w:pPr>
              <w:pStyle w:val="16"/>
              <w:ind w:firstLine="482"/>
            </w:pPr>
            <w:r>
              <w:rPr>
                <w:rFonts w:hint="eastAsia"/>
              </w:rPr>
              <w:t>2、废水污染源分析</w:t>
            </w:r>
          </w:p>
          <w:p w14:paraId="163A1FC3">
            <w:pPr>
              <w:pStyle w:val="17"/>
              <w:ind w:firstLine="482"/>
              <w:rPr>
                <w:b/>
                <w:bCs/>
              </w:rPr>
            </w:pPr>
            <w:r>
              <w:rPr>
                <w:rFonts w:hint="eastAsia"/>
                <w:b/>
                <w:bCs/>
              </w:rPr>
              <w:t>2.1废水污染源强核算</w:t>
            </w:r>
          </w:p>
          <w:p w14:paraId="3D679260">
            <w:pPr>
              <w:pStyle w:val="17"/>
              <w:ind w:firstLine="480"/>
            </w:pPr>
            <w:r>
              <w:t>项目废水主要为</w:t>
            </w:r>
            <w:r>
              <w:rPr>
                <w:rFonts w:hint="eastAsia"/>
              </w:rPr>
              <w:t>餐具清洗废水、地面拖洗废水、纯水制备废水和</w:t>
            </w:r>
            <w:r>
              <w:t>生活污水。</w:t>
            </w:r>
          </w:p>
          <w:p w14:paraId="3793891C">
            <w:pPr>
              <w:pStyle w:val="17"/>
              <w:ind w:firstLine="480"/>
            </w:pPr>
            <w:r>
              <w:rPr>
                <w:rFonts w:hint="eastAsia"/>
              </w:rPr>
              <w:t>①餐具清洗废水：清洗用水量合计2.4m</w:t>
            </w:r>
            <w:r>
              <w:rPr>
                <w:rFonts w:hint="eastAsia"/>
                <w:vertAlign w:val="superscript"/>
              </w:rPr>
              <w:t>3</w:t>
            </w:r>
            <w:r>
              <w:rPr>
                <w:rFonts w:hint="eastAsia"/>
              </w:rPr>
              <w:t>/d （480m</w:t>
            </w:r>
            <w:r>
              <w:rPr>
                <w:rFonts w:hint="eastAsia"/>
                <w:vertAlign w:val="superscript"/>
              </w:rPr>
              <w:t>3</w:t>
            </w:r>
            <w:r>
              <w:rPr>
                <w:rFonts w:hint="eastAsia"/>
              </w:rPr>
              <w:t>/a），产污系数取0.8，则清洗废水产生量为1.92m</w:t>
            </w:r>
            <w:r>
              <w:rPr>
                <w:rFonts w:hint="eastAsia"/>
                <w:vertAlign w:val="superscript"/>
              </w:rPr>
              <w:t>3</w:t>
            </w:r>
            <w:r>
              <w:rPr>
                <w:rFonts w:hint="eastAsia"/>
              </w:rPr>
              <w:t>/d（384m</w:t>
            </w:r>
            <w:r>
              <w:rPr>
                <w:rFonts w:hint="eastAsia"/>
                <w:vertAlign w:val="superscript"/>
              </w:rPr>
              <w:t>3</w:t>
            </w:r>
            <w:r>
              <w:rPr>
                <w:rFonts w:hint="eastAsia"/>
              </w:rPr>
              <w:t>/a），经隔油处理后排入沉淀池通过灌装运输车运至岳阳高新科技产业园区污水处理厂处理。</w:t>
            </w:r>
          </w:p>
          <w:p w14:paraId="1C675214">
            <w:pPr>
              <w:pStyle w:val="17"/>
              <w:ind w:firstLine="480"/>
            </w:pPr>
            <w:r>
              <w:rPr>
                <w:rFonts w:hint="eastAsia"/>
              </w:rPr>
              <w:t>②地面拖洗废水：地面拖洗用水量约为1.25m</w:t>
            </w:r>
            <w:r>
              <w:rPr>
                <w:rFonts w:hint="eastAsia"/>
                <w:vertAlign w:val="superscript"/>
              </w:rPr>
              <w:t>3</w:t>
            </w:r>
            <w:r>
              <w:rPr>
                <w:rFonts w:hint="eastAsia"/>
              </w:rPr>
              <w:t>/d（250m</w:t>
            </w:r>
            <w:r>
              <w:rPr>
                <w:rFonts w:hint="eastAsia"/>
                <w:vertAlign w:val="superscript"/>
              </w:rPr>
              <w:t>3</w:t>
            </w:r>
            <w:r>
              <w:rPr>
                <w:rFonts w:hint="eastAsia"/>
              </w:rPr>
              <w:t>/a），产污系数取0.8，则废水产生量为1m</w:t>
            </w:r>
            <w:r>
              <w:rPr>
                <w:rFonts w:hint="eastAsia"/>
                <w:vertAlign w:val="superscript"/>
              </w:rPr>
              <w:t>3</w:t>
            </w:r>
            <w:r>
              <w:rPr>
                <w:rFonts w:hint="eastAsia"/>
              </w:rPr>
              <w:t>/d（200m</w:t>
            </w:r>
            <w:r>
              <w:rPr>
                <w:rFonts w:hint="eastAsia"/>
                <w:vertAlign w:val="superscript"/>
              </w:rPr>
              <w:t>3</w:t>
            </w:r>
            <w:r>
              <w:rPr>
                <w:rFonts w:hint="eastAsia"/>
              </w:rPr>
              <w:t>/a），经隔油处理后排入沉淀池后通过灌装运输车运至岳阳高新科技产业园区污水处理厂处理。</w:t>
            </w:r>
          </w:p>
          <w:p w14:paraId="6688E6DC">
            <w:pPr>
              <w:pStyle w:val="17"/>
              <w:ind w:firstLine="480"/>
            </w:pPr>
            <w:r>
              <w:rPr>
                <w:rFonts w:hint="eastAsia"/>
              </w:rPr>
              <w:t>③纯水制备废水：纯水制备废水486.67t/a，经沉淀池</w:t>
            </w:r>
            <w:r>
              <w:rPr>
                <w:rFonts w:hint="eastAsia"/>
                <w:lang w:val="en-US" w:eastAsia="zh-CN"/>
              </w:rPr>
              <w:t>收集</w:t>
            </w:r>
            <w:r>
              <w:rPr>
                <w:rFonts w:hint="eastAsia"/>
              </w:rPr>
              <w:t>后通过灌装运输车运至岳阳高新科技产业园区污水处理厂处理。</w:t>
            </w:r>
          </w:p>
          <w:p w14:paraId="084B3687">
            <w:pPr>
              <w:pStyle w:val="17"/>
              <w:ind w:firstLine="480"/>
            </w:pPr>
            <w:r>
              <w:rPr>
                <w:rFonts w:hint="eastAsia"/>
              </w:rPr>
              <w:t>④生活污水：生活用水量为0.75m</w:t>
            </w:r>
            <w:r>
              <w:rPr>
                <w:rFonts w:hint="eastAsia"/>
                <w:vertAlign w:val="superscript"/>
              </w:rPr>
              <w:t>3</w:t>
            </w:r>
            <w:r>
              <w:rPr>
                <w:rFonts w:hint="eastAsia"/>
              </w:rPr>
              <w:t>/d（150m</w:t>
            </w:r>
            <w:r>
              <w:rPr>
                <w:rFonts w:hint="eastAsia"/>
                <w:vertAlign w:val="superscript"/>
              </w:rPr>
              <w:t>3</w:t>
            </w:r>
            <w:r>
              <w:rPr>
                <w:rFonts w:hint="eastAsia"/>
              </w:rPr>
              <w:t>/a），排污系数的80%计，则生活污水产生量为0.6m</w:t>
            </w:r>
            <w:r>
              <w:rPr>
                <w:rFonts w:hint="eastAsia"/>
                <w:vertAlign w:val="superscript"/>
              </w:rPr>
              <w:t>3</w:t>
            </w:r>
            <w:r>
              <w:rPr>
                <w:rFonts w:hint="eastAsia"/>
              </w:rPr>
              <w:t>/d（120m</w:t>
            </w:r>
            <w:r>
              <w:rPr>
                <w:rFonts w:hint="eastAsia"/>
                <w:vertAlign w:val="superscript"/>
              </w:rPr>
              <w:t>3</w:t>
            </w:r>
            <w:r>
              <w:rPr>
                <w:rFonts w:hint="eastAsia"/>
              </w:rPr>
              <w:t>/a），经化粪池处理后用于周边农田施肥。</w:t>
            </w:r>
          </w:p>
          <w:p w14:paraId="5DC62CC1">
            <w:pPr>
              <w:pStyle w:val="16"/>
              <w:ind w:firstLine="482"/>
            </w:pPr>
            <w:r>
              <w:rPr>
                <w:rFonts w:hint="eastAsia"/>
              </w:rPr>
              <w:t>2.2水污染物产排污情况</w:t>
            </w:r>
          </w:p>
          <w:p w14:paraId="1F0CE51B">
            <w:pPr>
              <w:pStyle w:val="17"/>
              <w:ind w:firstLine="480"/>
            </w:pPr>
            <w:r>
              <w:rPr>
                <w:rFonts w:hint="eastAsia"/>
              </w:rPr>
              <w:t>结合《饮食业环境保护技术规范》（HJ554-2010），清洗废水和车间地面拖洗废水的产生浓度分别为COD：1000mg/L、BOD</w:t>
            </w:r>
            <w:r>
              <w:rPr>
                <w:rFonts w:hint="eastAsia"/>
                <w:vertAlign w:val="subscript"/>
              </w:rPr>
              <w:t>5</w:t>
            </w:r>
            <w:r>
              <w:rPr>
                <w:rFonts w:hint="eastAsia"/>
              </w:rPr>
              <w:t>：500mg/L、SS： 500mg/L、氨氮：20mg/L、动植物油：200mg/L。废水产排情况如下表所示：</w:t>
            </w:r>
          </w:p>
          <w:p w14:paraId="3019C01E">
            <w:pPr>
              <w:pStyle w:val="18"/>
            </w:pPr>
            <w:r>
              <w:rPr>
                <w:rFonts w:hint="eastAsia"/>
              </w:rPr>
              <w:t>表4-7  废水产排污情况</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1963"/>
              <w:gridCol w:w="912"/>
              <w:gridCol w:w="691"/>
              <w:gridCol w:w="773"/>
              <w:gridCol w:w="749"/>
              <w:gridCol w:w="693"/>
              <w:gridCol w:w="1136"/>
            </w:tblGrid>
            <w:tr w14:paraId="31CF5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4" w:hRule="atLeast"/>
              </w:trPr>
              <w:tc>
                <w:tcPr>
                  <w:tcW w:w="1856" w:type="pct"/>
                  <w:gridSpan w:val="2"/>
                </w:tcPr>
                <w:p w14:paraId="31F4BDA4">
                  <w:pPr>
                    <w:pStyle w:val="15"/>
                  </w:pPr>
                  <w:r>
                    <w:rPr>
                      <w:rFonts w:hint="eastAsia"/>
                    </w:rPr>
                    <w:t>类型</w:t>
                  </w:r>
                </w:p>
              </w:tc>
              <w:tc>
                <w:tcPr>
                  <w:tcW w:w="578" w:type="pct"/>
                </w:tcPr>
                <w:p w14:paraId="3D8C12F8">
                  <w:pPr>
                    <w:pStyle w:val="15"/>
                  </w:pPr>
                  <w:r>
                    <w:rPr>
                      <w:rFonts w:hint="eastAsia"/>
                    </w:rPr>
                    <w:t>废水量</w:t>
                  </w:r>
                </w:p>
              </w:tc>
              <w:tc>
                <w:tcPr>
                  <w:tcW w:w="438" w:type="pct"/>
                </w:tcPr>
                <w:p w14:paraId="463AA89D">
                  <w:pPr>
                    <w:pStyle w:val="15"/>
                  </w:pPr>
                  <w:r>
                    <w:rPr>
                      <w:rFonts w:hint="eastAsia"/>
                    </w:rPr>
                    <w:t>COD</w:t>
                  </w:r>
                </w:p>
              </w:tc>
              <w:tc>
                <w:tcPr>
                  <w:tcW w:w="490" w:type="pct"/>
                </w:tcPr>
                <w:p w14:paraId="56C8A19B">
                  <w:pPr>
                    <w:pStyle w:val="15"/>
                  </w:pPr>
                  <w:r>
                    <w:rPr>
                      <w:rFonts w:hint="eastAsia"/>
                    </w:rPr>
                    <w:t>BOD</w:t>
                  </w:r>
                  <w:r>
                    <w:rPr>
                      <w:rFonts w:hint="eastAsia"/>
                      <w:vertAlign w:val="subscript"/>
                    </w:rPr>
                    <w:t>5</w:t>
                  </w:r>
                </w:p>
              </w:tc>
              <w:tc>
                <w:tcPr>
                  <w:tcW w:w="475" w:type="pct"/>
                </w:tcPr>
                <w:p w14:paraId="130FB6A1">
                  <w:pPr>
                    <w:pStyle w:val="15"/>
                  </w:pPr>
                  <w:r>
                    <w:rPr>
                      <w:rFonts w:hint="eastAsia"/>
                    </w:rPr>
                    <w:t>SS</w:t>
                  </w:r>
                </w:p>
              </w:tc>
              <w:tc>
                <w:tcPr>
                  <w:tcW w:w="439" w:type="pct"/>
                </w:tcPr>
                <w:p w14:paraId="3619FABC">
                  <w:pPr>
                    <w:pStyle w:val="15"/>
                  </w:pPr>
                  <w:r>
                    <w:rPr>
                      <w:rFonts w:hint="eastAsia"/>
                    </w:rPr>
                    <w:t>氨氮</w:t>
                  </w:r>
                </w:p>
              </w:tc>
              <w:tc>
                <w:tcPr>
                  <w:tcW w:w="720" w:type="pct"/>
                </w:tcPr>
                <w:p w14:paraId="1376527E">
                  <w:pPr>
                    <w:pStyle w:val="15"/>
                  </w:pPr>
                  <w:r>
                    <w:rPr>
                      <w:rFonts w:hint="eastAsia"/>
                    </w:rPr>
                    <w:t>动植物油</w:t>
                  </w:r>
                </w:p>
              </w:tc>
            </w:tr>
            <w:tr w14:paraId="10786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pct"/>
                  <w:vMerge w:val="restart"/>
                  <w:vAlign w:val="center"/>
                </w:tcPr>
                <w:p w14:paraId="6D6F1592">
                  <w:pPr>
                    <w:pStyle w:val="15"/>
                  </w:pPr>
                  <w:r>
                    <w:rPr>
                      <w:rFonts w:hint="eastAsia"/>
                    </w:rPr>
                    <w:t>餐具清洗废水和</w:t>
                  </w:r>
                  <w:r>
                    <w:t>地面拖洗废水</w:t>
                  </w:r>
                </w:p>
              </w:tc>
              <w:tc>
                <w:tcPr>
                  <w:tcW w:w="1243" w:type="pct"/>
                  <w:vAlign w:val="center"/>
                </w:tcPr>
                <w:p w14:paraId="5147900B">
                  <w:pPr>
                    <w:pStyle w:val="15"/>
                  </w:pPr>
                  <w:r>
                    <w:rPr>
                      <w:rFonts w:hint="eastAsia"/>
                    </w:rPr>
                    <w:t>产生量（</w:t>
                  </w:r>
                  <w:r>
                    <w:t>t/a</w:t>
                  </w:r>
                  <w:r>
                    <w:rPr>
                      <w:rFonts w:hint="eastAsia"/>
                    </w:rPr>
                    <w:t>）</w:t>
                  </w:r>
                </w:p>
              </w:tc>
              <w:tc>
                <w:tcPr>
                  <w:tcW w:w="578" w:type="pct"/>
                  <w:vMerge w:val="restart"/>
                  <w:vAlign w:val="center"/>
                </w:tcPr>
                <w:p w14:paraId="192C980F">
                  <w:pPr>
                    <w:pStyle w:val="15"/>
                  </w:pPr>
                  <w:r>
                    <w:rPr>
                      <w:rFonts w:hint="eastAsia"/>
                    </w:rPr>
                    <w:t>548</w:t>
                  </w:r>
                </w:p>
              </w:tc>
              <w:tc>
                <w:tcPr>
                  <w:tcW w:w="438" w:type="pct"/>
                </w:tcPr>
                <w:p w14:paraId="3912C2FB">
                  <w:pPr>
                    <w:pStyle w:val="15"/>
                  </w:pPr>
                  <w:r>
                    <w:rPr>
                      <w:rFonts w:hint="eastAsia"/>
                    </w:rPr>
                    <w:t>0.548</w:t>
                  </w:r>
                </w:p>
              </w:tc>
              <w:tc>
                <w:tcPr>
                  <w:tcW w:w="490" w:type="pct"/>
                </w:tcPr>
                <w:p w14:paraId="661DBE3E">
                  <w:pPr>
                    <w:pStyle w:val="15"/>
                  </w:pPr>
                  <w:r>
                    <w:rPr>
                      <w:rFonts w:hint="eastAsia"/>
                    </w:rPr>
                    <w:t>1.09</w:t>
                  </w:r>
                </w:p>
              </w:tc>
              <w:tc>
                <w:tcPr>
                  <w:tcW w:w="475" w:type="pct"/>
                </w:tcPr>
                <w:p w14:paraId="24A2F106">
                  <w:pPr>
                    <w:pStyle w:val="15"/>
                  </w:pPr>
                  <w:r>
                    <w:rPr>
                      <w:rFonts w:hint="eastAsia"/>
                    </w:rPr>
                    <w:t>1.09</w:t>
                  </w:r>
                </w:p>
              </w:tc>
              <w:tc>
                <w:tcPr>
                  <w:tcW w:w="439" w:type="pct"/>
                </w:tcPr>
                <w:p w14:paraId="3151CF89">
                  <w:pPr>
                    <w:pStyle w:val="15"/>
                  </w:pPr>
                  <w:r>
                    <w:rPr>
                      <w:rFonts w:hint="eastAsia"/>
                    </w:rPr>
                    <w:t>27.4</w:t>
                  </w:r>
                </w:p>
              </w:tc>
              <w:tc>
                <w:tcPr>
                  <w:tcW w:w="720" w:type="pct"/>
                </w:tcPr>
                <w:p w14:paraId="214C3116">
                  <w:pPr>
                    <w:pStyle w:val="15"/>
                  </w:pPr>
                  <w:r>
                    <w:rPr>
                      <w:rFonts w:hint="eastAsia"/>
                    </w:rPr>
                    <w:t>2.74</w:t>
                  </w:r>
                </w:p>
              </w:tc>
            </w:tr>
            <w:tr w14:paraId="702F2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612" w:type="pct"/>
                  <w:vMerge w:val="continue"/>
                  <w:vAlign w:val="center"/>
                </w:tcPr>
                <w:p w14:paraId="5BF60ADB">
                  <w:pPr>
                    <w:pStyle w:val="15"/>
                  </w:pPr>
                </w:p>
              </w:tc>
              <w:tc>
                <w:tcPr>
                  <w:tcW w:w="1243" w:type="pct"/>
                  <w:vAlign w:val="center"/>
                </w:tcPr>
                <w:p w14:paraId="4CF5BE20">
                  <w:pPr>
                    <w:pStyle w:val="15"/>
                  </w:pPr>
                  <w:r>
                    <w:rPr>
                      <w:rFonts w:hint="eastAsia"/>
                    </w:rPr>
                    <w:t>产生</w:t>
                  </w:r>
                  <w:r>
                    <w:t>浓度</w:t>
                  </w:r>
                  <w:r>
                    <w:rPr>
                      <w:rFonts w:hint="eastAsia"/>
                    </w:rPr>
                    <w:t>（</w:t>
                  </w:r>
                  <w:r>
                    <w:t>mg/L</w:t>
                  </w:r>
                  <w:r>
                    <w:rPr>
                      <w:rFonts w:hint="eastAsia"/>
                    </w:rPr>
                    <w:t>）</w:t>
                  </w:r>
                </w:p>
              </w:tc>
              <w:tc>
                <w:tcPr>
                  <w:tcW w:w="578" w:type="pct"/>
                  <w:vMerge w:val="continue"/>
                </w:tcPr>
                <w:p w14:paraId="6EFCB4C0">
                  <w:pPr>
                    <w:pStyle w:val="15"/>
                  </w:pPr>
                </w:p>
              </w:tc>
              <w:tc>
                <w:tcPr>
                  <w:tcW w:w="438" w:type="pct"/>
                </w:tcPr>
                <w:p w14:paraId="48FB2EE9">
                  <w:pPr>
                    <w:pStyle w:val="15"/>
                  </w:pPr>
                  <w:r>
                    <w:rPr>
                      <w:rFonts w:hint="eastAsia"/>
                    </w:rPr>
                    <w:t>1000</w:t>
                  </w:r>
                </w:p>
              </w:tc>
              <w:tc>
                <w:tcPr>
                  <w:tcW w:w="490" w:type="pct"/>
                </w:tcPr>
                <w:p w14:paraId="446D7CBE">
                  <w:pPr>
                    <w:pStyle w:val="15"/>
                  </w:pPr>
                  <w:r>
                    <w:rPr>
                      <w:rFonts w:hint="eastAsia"/>
                    </w:rPr>
                    <w:t>500</w:t>
                  </w:r>
                </w:p>
              </w:tc>
              <w:tc>
                <w:tcPr>
                  <w:tcW w:w="475" w:type="pct"/>
                </w:tcPr>
                <w:p w14:paraId="6029A93B">
                  <w:pPr>
                    <w:pStyle w:val="15"/>
                  </w:pPr>
                  <w:r>
                    <w:rPr>
                      <w:rFonts w:hint="eastAsia"/>
                    </w:rPr>
                    <w:t>500</w:t>
                  </w:r>
                </w:p>
              </w:tc>
              <w:tc>
                <w:tcPr>
                  <w:tcW w:w="439" w:type="pct"/>
                </w:tcPr>
                <w:p w14:paraId="012C514E">
                  <w:pPr>
                    <w:pStyle w:val="15"/>
                  </w:pPr>
                  <w:r>
                    <w:rPr>
                      <w:rFonts w:hint="eastAsia"/>
                    </w:rPr>
                    <w:t>20</w:t>
                  </w:r>
                </w:p>
              </w:tc>
              <w:tc>
                <w:tcPr>
                  <w:tcW w:w="720" w:type="pct"/>
                </w:tcPr>
                <w:p w14:paraId="3B86EB85">
                  <w:pPr>
                    <w:pStyle w:val="15"/>
                  </w:pPr>
                  <w:r>
                    <w:rPr>
                      <w:rFonts w:hint="eastAsia"/>
                    </w:rPr>
                    <w:t>200</w:t>
                  </w:r>
                </w:p>
              </w:tc>
            </w:tr>
            <w:tr w14:paraId="3A51A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pct"/>
                  <w:vMerge w:val="continue"/>
                  <w:vAlign w:val="center"/>
                </w:tcPr>
                <w:p w14:paraId="15285F15">
                  <w:pPr>
                    <w:pStyle w:val="15"/>
                  </w:pPr>
                </w:p>
              </w:tc>
              <w:tc>
                <w:tcPr>
                  <w:tcW w:w="1243" w:type="pct"/>
                  <w:vAlign w:val="center"/>
                </w:tcPr>
                <w:p w14:paraId="09A80128">
                  <w:pPr>
                    <w:pStyle w:val="15"/>
                  </w:pPr>
                  <w:r>
                    <w:rPr>
                      <w:rFonts w:hint="eastAsia"/>
                    </w:rPr>
                    <w:t>隔油沉淀</w:t>
                  </w:r>
                  <w:r>
                    <w:t>处理效率</w:t>
                  </w:r>
                </w:p>
              </w:tc>
              <w:tc>
                <w:tcPr>
                  <w:tcW w:w="578" w:type="pct"/>
                  <w:vMerge w:val="continue"/>
                </w:tcPr>
                <w:p w14:paraId="589DB91E">
                  <w:pPr>
                    <w:pStyle w:val="15"/>
                  </w:pPr>
                </w:p>
              </w:tc>
              <w:tc>
                <w:tcPr>
                  <w:tcW w:w="438" w:type="pct"/>
                </w:tcPr>
                <w:p w14:paraId="1594263C">
                  <w:pPr>
                    <w:pStyle w:val="15"/>
                  </w:pPr>
                  <w:r>
                    <w:rPr>
                      <w:rFonts w:hint="eastAsia"/>
                    </w:rPr>
                    <w:t>50%</w:t>
                  </w:r>
                </w:p>
              </w:tc>
              <w:tc>
                <w:tcPr>
                  <w:tcW w:w="490" w:type="pct"/>
                </w:tcPr>
                <w:p w14:paraId="7F13D4EF">
                  <w:pPr>
                    <w:pStyle w:val="15"/>
                  </w:pPr>
                  <w:r>
                    <w:rPr>
                      <w:rFonts w:hint="eastAsia"/>
                      <w:lang w:val="en-US" w:eastAsia="zh-CN"/>
                    </w:rPr>
                    <w:t>30</w:t>
                  </w:r>
                  <w:r>
                    <w:rPr>
                      <w:rFonts w:hint="eastAsia"/>
                    </w:rPr>
                    <w:t>%</w:t>
                  </w:r>
                </w:p>
              </w:tc>
              <w:tc>
                <w:tcPr>
                  <w:tcW w:w="475" w:type="pct"/>
                </w:tcPr>
                <w:p w14:paraId="0E030982">
                  <w:pPr>
                    <w:pStyle w:val="15"/>
                  </w:pPr>
                  <w:r>
                    <w:rPr>
                      <w:rFonts w:hint="eastAsia"/>
                    </w:rPr>
                    <w:t>70%</w:t>
                  </w:r>
                </w:p>
              </w:tc>
              <w:tc>
                <w:tcPr>
                  <w:tcW w:w="439" w:type="pct"/>
                </w:tcPr>
                <w:p w14:paraId="3B423322">
                  <w:pPr>
                    <w:pStyle w:val="15"/>
                  </w:pPr>
                  <w:r>
                    <w:rPr>
                      <w:rFonts w:hint="eastAsia"/>
                    </w:rPr>
                    <w:t>0</w:t>
                  </w:r>
                </w:p>
              </w:tc>
              <w:tc>
                <w:tcPr>
                  <w:tcW w:w="720" w:type="pct"/>
                </w:tcPr>
                <w:p w14:paraId="54C670AF">
                  <w:pPr>
                    <w:pStyle w:val="15"/>
                  </w:pPr>
                  <w:r>
                    <w:rPr>
                      <w:rFonts w:hint="eastAsia"/>
                    </w:rPr>
                    <w:t>70%</w:t>
                  </w:r>
                </w:p>
              </w:tc>
            </w:tr>
            <w:tr w14:paraId="3AC69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pct"/>
                  <w:vMerge w:val="continue"/>
                  <w:vAlign w:val="center"/>
                </w:tcPr>
                <w:p w14:paraId="5F3C5561">
                  <w:pPr>
                    <w:pStyle w:val="15"/>
                  </w:pPr>
                </w:p>
              </w:tc>
              <w:tc>
                <w:tcPr>
                  <w:tcW w:w="1243" w:type="pct"/>
                  <w:shd w:val="clear" w:color="auto" w:fill="auto"/>
                  <w:vAlign w:val="center"/>
                </w:tcPr>
                <w:p w14:paraId="41EAC91F">
                  <w:pPr>
                    <w:pStyle w:val="15"/>
                  </w:pPr>
                  <w:r>
                    <w:t>排放量</w:t>
                  </w:r>
                  <w:r>
                    <w:rPr>
                      <w:rFonts w:hint="eastAsia"/>
                    </w:rPr>
                    <w:t>（</w:t>
                  </w:r>
                  <w:r>
                    <w:t>t/a</w:t>
                  </w:r>
                  <w:r>
                    <w:rPr>
                      <w:rFonts w:hint="eastAsia"/>
                    </w:rPr>
                    <w:t>）</w:t>
                  </w:r>
                </w:p>
              </w:tc>
              <w:tc>
                <w:tcPr>
                  <w:tcW w:w="578" w:type="pct"/>
                  <w:vMerge w:val="continue"/>
                </w:tcPr>
                <w:p w14:paraId="2C1F51FF">
                  <w:pPr>
                    <w:pStyle w:val="15"/>
                  </w:pPr>
                </w:p>
              </w:tc>
              <w:tc>
                <w:tcPr>
                  <w:tcW w:w="438" w:type="pct"/>
                </w:tcPr>
                <w:p w14:paraId="386F6160">
                  <w:pPr>
                    <w:pStyle w:val="15"/>
                  </w:pPr>
                  <w:r>
                    <w:rPr>
                      <w:rFonts w:hint="eastAsia"/>
                    </w:rPr>
                    <w:t>0.274</w:t>
                  </w:r>
                </w:p>
              </w:tc>
              <w:tc>
                <w:tcPr>
                  <w:tcW w:w="490" w:type="pct"/>
                </w:tcPr>
                <w:p w14:paraId="3EC5E69F">
                  <w:pPr>
                    <w:pStyle w:val="15"/>
                    <w:rPr>
                      <w:rFonts w:hint="default" w:eastAsia="宋体"/>
                      <w:lang w:val="en-US" w:eastAsia="zh-CN"/>
                    </w:rPr>
                  </w:pPr>
                  <w:r>
                    <w:rPr>
                      <w:rFonts w:hint="eastAsia"/>
                    </w:rPr>
                    <w:t>0.</w:t>
                  </w:r>
                  <w:r>
                    <w:rPr>
                      <w:rFonts w:hint="eastAsia"/>
                      <w:lang w:val="en-US" w:eastAsia="zh-CN"/>
                    </w:rPr>
                    <w:t>76</w:t>
                  </w:r>
                </w:p>
              </w:tc>
              <w:tc>
                <w:tcPr>
                  <w:tcW w:w="475" w:type="pct"/>
                </w:tcPr>
                <w:p w14:paraId="22B2BA9D">
                  <w:pPr>
                    <w:pStyle w:val="15"/>
                  </w:pPr>
                  <w:r>
                    <w:rPr>
                      <w:rFonts w:hint="eastAsia"/>
                    </w:rPr>
                    <w:t>0.327</w:t>
                  </w:r>
                </w:p>
              </w:tc>
              <w:tc>
                <w:tcPr>
                  <w:tcW w:w="439" w:type="pct"/>
                </w:tcPr>
                <w:p w14:paraId="5698C75E">
                  <w:pPr>
                    <w:pStyle w:val="15"/>
                  </w:pPr>
                  <w:r>
                    <w:rPr>
                      <w:rFonts w:hint="eastAsia"/>
                    </w:rPr>
                    <w:t>27.4</w:t>
                  </w:r>
                </w:p>
              </w:tc>
              <w:tc>
                <w:tcPr>
                  <w:tcW w:w="720" w:type="pct"/>
                </w:tcPr>
                <w:p w14:paraId="6A81D3A4">
                  <w:pPr>
                    <w:pStyle w:val="15"/>
                  </w:pPr>
                  <w:r>
                    <w:rPr>
                      <w:rFonts w:hint="eastAsia"/>
                    </w:rPr>
                    <w:t>0.822</w:t>
                  </w:r>
                </w:p>
              </w:tc>
            </w:tr>
            <w:tr w14:paraId="565E8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pct"/>
                  <w:vMerge w:val="continue"/>
                  <w:vAlign w:val="center"/>
                </w:tcPr>
                <w:p w14:paraId="7984DB3A">
                  <w:pPr>
                    <w:pStyle w:val="15"/>
                  </w:pPr>
                </w:p>
              </w:tc>
              <w:tc>
                <w:tcPr>
                  <w:tcW w:w="1243" w:type="pct"/>
                  <w:shd w:val="clear" w:color="auto" w:fill="auto"/>
                  <w:vAlign w:val="center"/>
                </w:tcPr>
                <w:p w14:paraId="0B0193D3">
                  <w:pPr>
                    <w:pStyle w:val="15"/>
                  </w:pPr>
                  <w:r>
                    <w:t>排放浓度</w:t>
                  </w:r>
                  <w:r>
                    <w:rPr>
                      <w:rFonts w:hint="eastAsia"/>
                    </w:rPr>
                    <w:t>（</w:t>
                  </w:r>
                  <w:r>
                    <w:t>mg/L</w:t>
                  </w:r>
                  <w:r>
                    <w:rPr>
                      <w:rFonts w:hint="eastAsia"/>
                    </w:rPr>
                    <w:t>）</w:t>
                  </w:r>
                </w:p>
              </w:tc>
              <w:tc>
                <w:tcPr>
                  <w:tcW w:w="578" w:type="pct"/>
                  <w:vMerge w:val="continue"/>
                </w:tcPr>
                <w:p w14:paraId="2475AE80">
                  <w:pPr>
                    <w:pStyle w:val="15"/>
                  </w:pPr>
                </w:p>
              </w:tc>
              <w:tc>
                <w:tcPr>
                  <w:tcW w:w="438" w:type="pct"/>
                </w:tcPr>
                <w:p w14:paraId="610FDC82">
                  <w:pPr>
                    <w:pStyle w:val="15"/>
                  </w:pPr>
                  <w:r>
                    <w:rPr>
                      <w:rFonts w:hint="eastAsia"/>
                    </w:rPr>
                    <w:t>500</w:t>
                  </w:r>
                </w:p>
              </w:tc>
              <w:tc>
                <w:tcPr>
                  <w:tcW w:w="490" w:type="pct"/>
                </w:tcPr>
                <w:p w14:paraId="1E15E83B">
                  <w:pPr>
                    <w:pStyle w:val="15"/>
                  </w:pPr>
                  <w:r>
                    <w:rPr>
                      <w:rFonts w:hint="eastAsia"/>
                      <w:lang w:val="en-US" w:eastAsia="zh-CN"/>
                    </w:rPr>
                    <w:t>3</w:t>
                  </w:r>
                  <w:r>
                    <w:rPr>
                      <w:rFonts w:hint="eastAsia"/>
                    </w:rPr>
                    <w:t>50</w:t>
                  </w:r>
                </w:p>
              </w:tc>
              <w:tc>
                <w:tcPr>
                  <w:tcW w:w="475" w:type="pct"/>
                </w:tcPr>
                <w:p w14:paraId="70D978F8">
                  <w:pPr>
                    <w:pStyle w:val="15"/>
                  </w:pPr>
                  <w:r>
                    <w:rPr>
                      <w:rFonts w:hint="eastAsia"/>
                    </w:rPr>
                    <w:t>250</w:t>
                  </w:r>
                </w:p>
              </w:tc>
              <w:tc>
                <w:tcPr>
                  <w:tcW w:w="439" w:type="pct"/>
                </w:tcPr>
                <w:p w14:paraId="789CB0F4">
                  <w:pPr>
                    <w:pStyle w:val="15"/>
                  </w:pPr>
                  <w:r>
                    <w:rPr>
                      <w:rFonts w:hint="eastAsia"/>
                    </w:rPr>
                    <w:t>20</w:t>
                  </w:r>
                </w:p>
              </w:tc>
              <w:tc>
                <w:tcPr>
                  <w:tcW w:w="720" w:type="pct"/>
                </w:tcPr>
                <w:p w14:paraId="5254A7EC">
                  <w:pPr>
                    <w:pStyle w:val="15"/>
                  </w:pPr>
                  <w:r>
                    <w:rPr>
                      <w:rFonts w:hint="eastAsia"/>
                    </w:rPr>
                    <w:t>60</w:t>
                  </w:r>
                </w:p>
              </w:tc>
            </w:tr>
            <w:tr w14:paraId="675B6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pct"/>
                  <w:gridSpan w:val="2"/>
                </w:tcPr>
                <w:p w14:paraId="050B663B">
                  <w:pPr>
                    <w:pStyle w:val="15"/>
                  </w:pPr>
                  <w:r>
                    <w:t>纯水制备废水</w:t>
                  </w:r>
                </w:p>
              </w:tc>
              <w:tc>
                <w:tcPr>
                  <w:tcW w:w="578" w:type="pct"/>
                </w:tcPr>
                <w:p w14:paraId="1B6D69FD">
                  <w:pPr>
                    <w:pStyle w:val="15"/>
                  </w:pPr>
                  <w:r>
                    <w:rPr>
                      <w:rFonts w:hint="eastAsia"/>
                    </w:rPr>
                    <w:t>486.67</w:t>
                  </w:r>
                </w:p>
              </w:tc>
              <w:tc>
                <w:tcPr>
                  <w:tcW w:w="438" w:type="pct"/>
                </w:tcPr>
                <w:p w14:paraId="17177C80">
                  <w:pPr>
                    <w:pStyle w:val="15"/>
                  </w:pPr>
                  <w:r>
                    <w:rPr>
                      <w:rFonts w:hint="eastAsia"/>
                    </w:rPr>
                    <w:t>/</w:t>
                  </w:r>
                </w:p>
              </w:tc>
              <w:tc>
                <w:tcPr>
                  <w:tcW w:w="490" w:type="pct"/>
                </w:tcPr>
                <w:p w14:paraId="68DF0702">
                  <w:pPr>
                    <w:pStyle w:val="15"/>
                  </w:pPr>
                  <w:r>
                    <w:rPr>
                      <w:rFonts w:hint="eastAsia"/>
                    </w:rPr>
                    <w:t>/</w:t>
                  </w:r>
                </w:p>
              </w:tc>
              <w:tc>
                <w:tcPr>
                  <w:tcW w:w="475" w:type="pct"/>
                </w:tcPr>
                <w:p w14:paraId="664FBEBF">
                  <w:pPr>
                    <w:pStyle w:val="15"/>
                  </w:pPr>
                  <w:r>
                    <w:rPr>
                      <w:rFonts w:hint="eastAsia"/>
                    </w:rPr>
                    <w:t>/</w:t>
                  </w:r>
                </w:p>
              </w:tc>
              <w:tc>
                <w:tcPr>
                  <w:tcW w:w="439" w:type="pct"/>
                </w:tcPr>
                <w:p w14:paraId="1AEC45DA">
                  <w:pPr>
                    <w:pStyle w:val="15"/>
                  </w:pPr>
                  <w:r>
                    <w:rPr>
                      <w:rFonts w:hint="eastAsia"/>
                    </w:rPr>
                    <w:t>/</w:t>
                  </w:r>
                </w:p>
              </w:tc>
              <w:tc>
                <w:tcPr>
                  <w:tcW w:w="720" w:type="pct"/>
                </w:tcPr>
                <w:p w14:paraId="23884B96">
                  <w:pPr>
                    <w:pStyle w:val="15"/>
                  </w:pPr>
                  <w:r>
                    <w:rPr>
                      <w:rFonts w:hint="eastAsia"/>
                    </w:rPr>
                    <w:t>/</w:t>
                  </w:r>
                </w:p>
              </w:tc>
            </w:tr>
          </w:tbl>
          <w:p w14:paraId="370A2355">
            <w:pPr>
              <w:ind w:firstLine="480"/>
            </w:pPr>
            <w:r>
              <w:t>餐具清洗废水和地面拖洗废水</w:t>
            </w:r>
            <w:r>
              <w:rPr>
                <w:rFonts w:hint="eastAsia"/>
              </w:rPr>
              <w:t>经隔油沉淀处理后能达到工业污水处理合同（附件6）中COD：500mg/L、SS：400mg/L、氨氮：20mg/L、动植物油：100mg/L浓度限值。</w:t>
            </w:r>
          </w:p>
          <w:p w14:paraId="4AD4128D">
            <w:pPr>
              <w:pStyle w:val="16"/>
              <w:ind w:firstLine="482"/>
            </w:pPr>
            <w:r>
              <w:rPr>
                <w:rFonts w:hint="eastAsia"/>
              </w:rPr>
              <w:t>2</w:t>
            </w:r>
            <w:r>
              <w:t>.</w:t>
            </w:r>
            <w:r>
              <w:rPr>
                <w:rFonts w:hint="eastAsia"/>
              </w:rPr>
              <w:t>3</w:t>
            </w:r>
            <w:r>
              <w:t xml:space="preserve"> 废</w:t>
            </w:r>
            <w:r>
              <w:rPr>
                <w:rFonts w:hint="eastAsia"/>
              </w:rPr>
              <w:t>水</w:t>
            </w:r>
            <w:r>
              <w:t>处理措施可行性分析</w:t>
            </w:r>
          </w:p>
          <w:p w14:paraId="081F232D">
            <w:pPr>
              <w:ind w:firstLine="480"/>
            </w:pPr>
            <w:r>
              <w:t>（1）生活污水处理措施可行性分析：生活污水</w:t>
            </w:r>
            <w:r>
              <w:rPr>
                <w:rFonts w:hint="eastAsia"/>
              </w:rPr>
              <w:t>经化粪池处理后用于周边农田施肥</w:t>
            </w:r>
            <w:r>
              <w:t>，生活污水不会影响区域地表水环境。</w:t>
            </w:r>
          </w:p>
          <w:p w14:paraId="6EE72BDB">
            <w:pPr>
              <w:ind w:firstLine="480"/>
            </w:pPr>
            <w:r>
              <w:rPr>
                <w:rFonts w:hint="eastAsia"/>
              </w:rPr>
              <w:t>化粪池的基本原理：化粪池指的是将生活污水分格沉淀，及对污泥进行厌氧消化的小型处理构筑物。化粪池属最初级污水处理阶段，可去除50％的悬浮杂质（粪便、较大病原虫等），并使积泥在厌氧条件下分解为稳定状态。其沉淀原理类似于平流式沉淀池，分为酸性发酵和碱性发酵两个阶段。第一阶段为酸性发酵阶段，产生H</w:t>
            </w:r>
            <w:r>
              <w:rPr>
                <w:rFonts w:hint="eastAsia"/>
                <w:vertAlign w:val="subscript"/>
              </w:rPr>
              <w:t>2</w:t>
            </w:r>
            <w:r>
              <w:rPr>
                <w:rFonts w:hint="eastAsia"/>
              </w:rPr>
              <w:t>S、硫醇、吲哚、粪臭素等有害气体和腐臭味。悬浮杂质吸附气泡浮于水面后，又因气体释放而沉入池底，循环的沉浮运动使悬浮杂质块逐渐变小，粪块中的寄生虫卵也随之剥离沉入池底。第二阶段是碱性发酵阶段，第一阶段产生的氨基酸在甲烷基作用下分解为CO</w:t>
            </w:r>
            <w:r>
              <w:rPr>
                <w:rFonts w:hint="eastAsia"/>
                <w:vertAlign w:val="subscript"/>
              </w:rPr>
              <w:t>2</w:t>
            </w:r>
            <w:r>
              <w:rPr>
                <w:rFonts w:hint="eastAsia"/>
              </w:rPr>
              <w:t>、CH</w:t>
            </w:r>
            <w:r>
              <w:rPr>
                <w:rFonts w:hint="eastAsia"/>
                <w:vertAlign w:val="subscript"/>
              </w:rPr>
              <w:t>4</w:t>
            </w:r>
            <w:r>
              <w:rPr>
                <w:rFonts w:hint="eastAsia"/>
              </w:rPr>
              <w:t>、氨。为减少污水与污泥的接触时间，也使酸性发酵、碱性发酵两个过程互不干扰，并便于清掏。</w:t>
            </w:r>
          </w:p>
          <w:p w14:paraId="2E708826">
            <w:pPr>
              <w:ind w:firstLine="480"/>
            </w:pPr>
            <w:r>
              <w:t>（2）生产废水处理措施可行性分析</w:t>
            </w:r>
          </w:p>
          <w:p w14:paraId="6BE7317B">
            <w:pPr>
              <w:ind w:firstLine="480"/>
              <w:rPr>
                <w:rFonts w:hint="eastAsia"/>
              </w:rPr>
            </w:pPr>
            <w:r>
              <w:t>采用隔油</w:t>
            </w:r>
            <w:r>
              <w:rPr>
                <w:rFonts w:hint="eastAsia"/>
                <w:lang w:eastAsia="zh-CN"/>
              </w:rPr>
              <w:t>、</w:t>
            </w:r>
            <w:r>
              <w:t>沉淀工艺对餐具清洗废水</w:t>
            </w:r>
            <w:r>
              <w:rPr>
                <w:rFonts w:hint="eastAsia"/>
              </w:rPr>
              <w:t>和</w:t>
            </w:r>
            <w:r>
              <w:t>地面拖洗废水进行处理，</w:t>
            </w:r>
            <w:r>
              <w:rPr>
                <w:rFonts w:hint="eastAsia"/>
              </w:rPr>
              <w:t>原理：隔油沉淀池的工作原理主要基于油和水密度的不同，利用油滴上浮和悬浮颗粒下沉的特性来分离油和水分。含油废水进入隔油沉淀池后，由于油的密度比水小，会上浮到水面形成一层油膜，而水中的悬浮颗粒和其他杂质则会下沉到底部。在这个过程中，隔油沉淀池内的设计会进一步促进油和悬浮颗粒的分离，例如设置斜坡面和挡墙来引导水流，以及使用沉淀板和滤网来过滤和拦截污染物。通过这些方法，隔油沉淀池能够有效地去除废水中的油脂和悬浮颗粒，净化水质。</w:t>
            </w:r>
          </w:p>
          <w:p w14:paraId="378D84FC">
            <w:pPr>
              <w:ind w:firstLine="480"/>
              <w:rPr>
                <w:rFonts w:hint="eastAsia"/>
              </w:rPr>
            </w:pPr>
            <w:r>
              <w:rPr>
                <w:rFonts w:hint="eastAsia"/>
              </w:rPr>
              <w:t>餐具清洗废水和地面拖洗废水经隔油处理后排入沉淀池处理后能满足岳阳高新技术产业园区污水处理厂</w:t>
            </w:r>
            <w:r>
              <w:rPr>
                <w:rFonts w:hint="eastAsia"/>
                <w:lang w:val="en-US" w:eastAsia="zh-CN"/>
              </w:rPr>
              <w:t>接纳</w:t>
            </w:r>
            <w:r>
              <w:rPr>
                <w:rFonts w:hint="eastAsia"/>
              </w:rPr>
              <w:t>水质要求，处理工艺可行。</w:t>
            </w:r>
          </w:p>
          <w:p w14:paraId="7A5F280C">
            <w:pPr>
              <w:ind w:firstLine="480"/>
              <w:rPr>
                <w:rFonts w:hint="eastAsia"/>
              </w:rPr>
            </w:pPr>
            <w:r>
              <w:rPr>
                <w:rFonts w:hint="eastAsia"/>
              </w:rPr>
              <w:t>餐具清洗废水和地面拖洗废水</w:t>
            </w:r>
            <w:r>
              <w:rPr>
                <w:rFonts w:hint="eastAsia"/>
                <w:lang w:val="en-US" w:eastAsia="zh-CN"/>
              </w:rPr>
              <w:t>合计</w:t>
            </w:r>
            <w:r>
              <w:t>为</w:t>
            </w:r>
            <w:r>
              <w:rPr>
                <w:rFonts w:hint="eastAsia"/>
              </w:rPr>
              <w:t>2.92</w:t>
            </w:r>
            <w:r>
              <w:t>m</w:t>
            </w:r>
            <w:r>
              <w:rPr>
                <w:vertAlign w:val="superscript"/>
              </w:rPr>
              <w:t>3</w:t>
            </w:r>
            <w:r>
              <w:t>/d，隔油池容积为</w:t>
            </w:r>
            <w:r>
              <w:rPr>
                <w:rFonts w:hint="eastAsia"/>
              </w:rPr>
              <w:t>5</w:t>
            </w:r>
            <w:r>
              <w:t>m</w:t>
            </w:r>
            <w:r>
              <w:rPr>
                <w:vertAlign w:val="superscript"/>
              </w:rPr>
              <w:t>3</w:t>
            </w:r>
            <w:r>
              <w:rPr>
                <w:rFonts w:hint="eastAsia"/>
              </w:rPr>
              <w:t>，</w:t>
            </w:r>
            <w:r>
              <w:t>能够完全容纳</w:t>
            </w:r>
            <w:r>
              <w:rPr>
                <w:rFonts w:hint="eastAsia"/>
              </w:rPr>
              <w:t>；餐具清洗废水和地面拖洗废水经隔油处理后排入沉淀池与纯水制备废水一起通过灌装运输车运至岳阳高新科技产业园区污水处理厂处理</w:t>
            </w:r>
            <w:r>
              <w:rPr>
                <w:rFonts w:hint="eastAsia"/>
                <w:lang w:eastAsia="zh-CN"/>
              </w:rPr>
              <w:t>（</w:t>
            </w:r>
            <w:r>
              <w:rPr>
                <w:rFonts w:hint="eastAsia"/>
              </w:rPr>
              <w:t>项目所在区域尚未铺设污水管网，餐具清洗废水、</w:t>
            </w:r>
            <w:r>
              <w:t>地面拖洗废水</w:t>
            </w:r>
            <w:r>
              <w:rPr>
                <w:rFonts w:hint="eastAsia"/>
              </w:rPr>
              <w:t>和</w:t>
            </w:r>
            <w:r>
              <w:t>纯水制备废水</w:t>
            </w:r>
            <w:r>
              <w:rPr>
                <w:rFonts w:hint="eastAsia"/>
              </w:rPr>
              <w:t>通过灌装运输车运至岳阳高新科技产业园区污水处理厂处理</w:t>
            </w:r>
            <w:r>
              <w:rPr>
                <w:rFonts w:hint="eastAsia"/>
                <w:lang w:eastAsia="zh-CN"/>
              </w:rPr>
              <w:t>，</w:t>
            </w:r>
            <w:r>
              <w:rPr>
                <w:rFonts w:hint="eastAsia"/>
                <w:lang w:val="en-US" w:eastAsia="zh-CN"/>
              </w:rPr>
              <w:t>处理协议</w:t>
            </w:r>
            <w:r>
              <w:rPr>
                <w:rFonts w:hint="eastAsia"/>
              </w:rPr>
              <w:t>详见附件6</w:t>
            </w:r>
            <w:r>
              <w:rPr>
                <w:rFonts w:hint="eastAsia"/>
                <w:lang w:eastAsia="zh-CN"/>
              </w:rPr>
              <w:t>）</w:t>
            </w:r>
            <w:r>
              <w:rPr>
                <w:rFonts w:hint="eastAsia"/>
              </w:rPr>
              <w:t>，合计污水</w:t>
            </w:r>
            <w:r>
              <w:t>量为</w:t>
            </w:r>
            <w:r>
              <w:rPr>
                <w:rFonts w:hint="eastAsia"/>
              </w:rPr>
              <w:t>5.4</w:t>
            </w:r>
            <w:r>
              <w:t>m</w:t>
            </w:r>
            <w:r>
              <w:rPr>
                <w:vertAlign w:val="superscript"/>
              </w:rPr>
              <w:t>3</w:t>
            </w:r>
            <w:r>
              <w:t>/d</w:t>
            </w:r>
            <w:r>
              <w:rPr>
                <w:rFonts w:hint="eastAsia"/>
              </w:rPr>
              <w:t>，沉淀池容积50</w:t>
            </w:r>
            <w:r>
              <w:t>m</w:t>
            </w:r>
            <w:r>
              <w:rPr>
                <w:vertAlign w:val="superscript"/>
              </w:rPr>
              <w:t>3</w:t>
            </w:r>
            <w:r>
              <w:rPr>
                <w:rFonts w:hint="eastAsia"/>
              </w:rPr>
              <w:t>，能够完全容纳并处理废水，因此，隔油沉淀池设计容积可满足本项目废水处理要求。</w:t>
            </w:r>
          </w:p>
          <w:p w14:paraId="242BCC96">
            <w:pPr>
              <w:ind w:firstLine="480"/>
            </w:pPr>
            <w:r>
              <w:rPr>
                <w:rFonts w:hint="eastAsia"/>
              </w:rPr>
              <w:t>岳阳高新技术产业园区污水处理厂位于荣湾镇东方村（京广高铁西侧空地），近期设计规模为：10000m</w:t>
            </w:r>
            <w:r>
              <w:rPr>
                <w:rFonts w:hint="eastAsia"/>
                <w:vertAlign w:val="superscript"/>
              </w:rPr>
              <w:t>3</w:t>
            </w:r>
            <w:r>
              <w:rPr>
                <w:rFonts w:hint="eastAsia"/>
              </w:rPr>
              <w:t>/d，远期设计处理规模30000m</w:t>
            </w:r>
            <w:r>
              <w:rPr>
                <w:rFonts w:hint="eastAsia"/>
                <w:vertAlign w:val="superscript"/>
              </w:rPr>
              <w:t>3</w:t>
            </w:r>
            <w:r>
              <w:rPr>
                <w:rFonts w:hint="eastAsia"/>
              </w:rPr>
              <w:t>/d，采用“预处理+水解酸化+改良AAO+高密沉淀+活性砂滤池+消毒”工艺，目前已有企业日排水量4500m</w:t>
            </w:r>
            <w:r>
              <w:rPr>
                <w:rFonts w:hint="eastAsia"/>
                <w:vertAlign w:val="superscript"/>
              </w:rPr>
              <w:t>3</w:t>
            </w:r>
            <w:r>
              <w:rPr>
                <w:rFonts w:hint="eastAsia"/>
              </w:rPr>
              <w:t>，剩余5500m</w:t>
            </w:r>
            <w:r>
              <w:rPr>
                <w:rFonts w:hint="eastAsia"/>
                <w:vertAlign w:val="superscript"/>
              </w:rPr>
              <w:t>3</w:t>
            </w:r>
            <w:r>
              <w:rPr>
                <w:rFonts w:hint="eastAsia"/>
              </w:rPr>
              <w:t>/d处理能力，本项目废水排放量为5.4m</w:t>
            </w:r>
            <w:r>
              <w:rPr>
                <w:rFonts w:hint="eastAsia"/>
                <w:vertAlign w:val="superscript"/>
              </w:rPr>
              <w:t>3</w:t>
            </w:r>
            <w:r>
              <w:rPr>
                <w:rFonts w:hint="eastAsia"/>
              </w:rPr>
              <w:t>/d，远远小于该污水处理厂剩余的处理能力，岳阳高新技术产业园区污水处理厂完全具有接纳本项目污水的处理规模及能力，项目废水排入岳阳高新技术产业园区污水处理厂可行。</w:t>
            </w:r>
          </w:p>
          <w:p w14:paraId="3368CA9A">
            <w:pPr>
              <w:ind w:firstLine="480"/>
            </w:pPr>
            <w:r>
              <w:rPr>
                <w:rFonts w:hint="eastAsia"/>
              </w:rPr>
              <w:t>本项目废水处理经隔油沉淀处理后能够达到岳阳高新技术产业园区污水处理厂进水水质要求，经灌装运输车运至岳阳高新科技产业园区污水处理厂处理后于新墙河铁路桥下游排入新墙河。</w:t>
            </w:r>
          </w:p>
          <w:p w14:paraId="00CEEA84">
            <w:pPr>
              <w:pStyle w:val="16"/>
              <w:ind w:firstLine="482"/>
            </w:pPr>
            <w:r>
              <w:t>2.4 废水监测要求</w:t>
            </w:r>
          </w:p>
          <w:p w14:paraId="37F2A8D3">
            <w:pPr>
              <w:ind w:firstLine="480"/>
            </w:pPr>
            <w:r>
              <w:t>根据《排污单位自行监测技术指南 总则》（HJ819-2017）相关规定，本项目</w:t>
            </w:r>
            <w:r>
              <w:rPr>
                <w:rFonts w:hint="eastAsia"/>
              </w:rPr>
              <w:t>无废水</w:t>
            </w:r>
            <w:r>
              <w:t>外排，不设置废水排放口，无需制定废水监测计划。</w:t>
            </w:r>
          </w:p>
          <w:p w14:paraId="6E27C78C">
            <w:pPr>
              <w:pStyle w:val="16"/>
              <w:ind w:firstLine="482"/>
            </w:pPr>
            <w:r>
              <w:rPr>
                <w:rFonts w:hint="eastAsia"/>
              </w:rPr>
              <w:t>3、噪声环境影响和保护措施</w:t>
            </w:r>
          </w:p>
          <w:p w14:paraId="5A05B9D3">
            <w:pPr>
              <w:pStyle w:val="16"/>
              <w:ind w:firstLine="482"/>
            </w:pPr>
            <w:r>
              <w:t>3.1</w:t>
            </w:r>
            <w:r>
              <w:rPr>
                <w:rFonts w:hint="eastAsia"/>
              </w:rPr>
              <w:t xml:space="preserve"> </w:t>
            </w:r>
            <w:r>
              <w:t>噪声源强及降噪措施</w:t>
            </w:r>
          </w:p>
          <w:p w14:paraId="5E2D0027">
            <w:pPr>
              <w:ind w:firstLine="480"/>
            </w:pPr>
            <w:r>
              <w:t>本项目产生噪声主要为设备</w:t>
            </w:r>
            <w:r>
              <w:rPr>
                <w:rFonts w:hint="eastAsia"/>
              </w:rPr>
              <w:t>运行</w:t>
            </w:r>
            <w:r>
              <w:t>产生的噪声，参考《环境保护实用数据手册》（胡名操主编）、《机械加工行业环境影响评价中常见污染源强估算及污染治理》（湖北大学学报第32卷第3期）等相关文件及类比调查分析，主要生产设备运行的声级范围在</w:t>
            </w:r>
            <w:r>
              <w:rPr>
                <w:rFonts w:hint="eastAsia"/>
              </w:rPr>
              <w:t>75</w:t>
            </w:r>
            <w:r>
              <w:t>dB(A)~</w:t>
            </w:r>
            <w:r>
              <w:rPr>
                <w:rFonts w:hint="eastAsia"/>
              </w:rPr>
              <w:t>80</w:t>
            </w:r>
            <w:r>
              <w:t>dB(A)之间</w:t>
            </w:r>
            <w:r>
              <w:rPr>
                <w:rFonts w:hint="eastAsia"/>
              </w:rPr>
              <w:t>，</w:t>
            </w:r>
            <w:r>
              <w:t>其中主要噪声源及设备</w:t>
            </w:r>
            <w:r>
              <w:rPr>
                <w:rFonts w:hint="eastAsia"/>
              </w:rPr>
              <w:t>详见</w:t>
            </w:r>
            <w:r>
              <w:t>下表。</w:t>
            </w:r>
          </w:p>
          <w:p w14:paraId="247B7ECF">
            <w:pPr>
              <w:pStyle w:val="18"/>
            </w:pPr>
            <w:r>
              <w:t>表4-</w:t>
            </w:r>
            <w:r>
              <w:rPr>
                <w:rFonts w:hint="eastAsia"/>
                <w:lang w:val="en-US" w:eastAsia="zh-CN"/>
              </w:rPr>
              <w:t>8</w:t>
            </w:r>
            <w:r>
              <w:rPr>
                <w:rFonts w:hint="eastAsia"/>
              </w:rPr>
              <w:t xml:space="preserve">  </w:t>
            </w:r>
            <w:r>
              <w:t>主要设备噪声源强（室外）</w:t>
            </w:r>
          </w:p>
          <w:tbl>
            <w:tblPr>
              <w:tblStyle w:val="12"/>
              <w:tblW w:w="7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2192"/>
              <w:gridCol w:w="1881"/>
              <w:gridCol w:w="1477"/>
              <w:gridCol w:w="1164"/>
            </w:tblGrid>
            <w:tr w14:paraId="67653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5" w:type="dxa"/>
                </w:tcPr>
                <w:p w14:paraId="19B34B9F">
                  <w:pPr>
                    <w:pStyle w:val="15"/>
                  </w:pPr>
                  <w:r>
                    <w:rPr>
                      <w:rFonts w:hint="eastAsia"/>
                    </w:rPr>
                    <w:t>声源名称</w:t>
                  </w:r>
                </w:p>
              </w:tc>
              <w:tc>
                <w:tcPr>
                  <w:tcW w:w="2192" w:type="dxa"/>
                </w:tcPr>
                <w:p w14:paraId="2043682C">
                  <w:pPr>
                    <w:pStyle w:val="15"/>
                  </w:pPr>
                  <w:r>
                    <w:t>空间相对位X/Y/Z（m）</w:t>
                  </w:r>
                </w:p>
              </w:tc>
              <w:tc>
                <w:tcPr>
                  <w:tcW w:w="1881" w:type="dxa"/>
                </w:tcPr>
                <w:p w14:paraId="63D95303">
                  <w:pPr>
                    <w:pStyle w:val="15"/>
                  </w:pPr>
                  <w:r>
                    <w:t>声功率级（dB(A)）</w:t>
                  </w:r>
                </w:p>
              </w:tc>
              <w:tc>
                <w:tcPr>
                  <w:tcW w:w="1477" w:type="dxa"/>
                </w:tcPr>
                <w:p w14:paraId="12ED749E">
                  <w:pPr>
                    <w:pStyle w:val="15"/>
                  </w:pPr>
                  <w:r>
                    <w:t>声源控制措施</w:t>
                  </w:r>
                </w:p>
              </w:tc>
              <w:tc>
                <w:tcPr>
                  <w:tcW w:w="1164" w:type="dxa"/>
                </w:tcPr>
                <w:p w14:paraId="421D428B">
                  <w:pPr>
                    <w:pStyle w:val="15"/>
                  </w:pPr>
                  <w:r>
                    <w:t>运行时段</w:t>
                  </w:r>
                </w:p>
              </w:tc>
            </w:tr>
            <w:tr w14:paraId="3E13E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5" w:type="dxa"/>
                </w:tcPr>
                <w:p w14:paraId="4ECE1614">
                  <w:pPr>
                    <w:pStyle w:val="15"/>
                  </w:pPr>
                  <w:r>
                    <w:rPr>
                      <w:rFonts w:hint="eastAsia"/>
                    </w:rPr>
                    <w:t>水泵</w:t>
                  </w:r>
                </w:p>
              </w:tc>
              <w:tc>
                <w:tcPr>
                  <w:tcW w:w="2192" w:type="dxa"/>
                </w:tcPr>
                <w:p w14:paraId="43B8D298">
                  <w:pPr>
                    <w:pStyle w:val="15"/>
                  </w:pPr>
                  <w:r>
                    <w:rPr>
                      <w:rFonts w:hint="eastAsia"/>
                    </w:rPr>
                    <w:t>-20/30/-0.2</w:t>
                  </w:r>
                </w:p>
              </w:tc>
              <w:tc>
                <w:tcPr>
                  <w:tcW w:w="1881" w:type="dxa"/>
                </w:tcPr>
                <w:p w14:paraId="2A2FD8E4">
                  <w:pPr>
                    <w:pStyle w:val="15"/>
                  </w:pPr>
                  <w:r>
                    <w:rPr>
                      <w:rFonts w:hint="eastAsia"/>
                    </w:rPr>
                    <w:t>80</w:t>
                  </w:r>
                </w:p>
              </w:tc>
              <w:tc>
                <w:tcPr>
                  <w:tcW w:w="1477" w:type="dxa"/>
                </w:tcPr>
                <w:p w14:paraId="11F02E5B">
                  <w:pPr>
                    <w:pStyle w:val="15"/>
                  </w:pPr>
                  <w:r>
                    <w:t>基础减振</w:t>
                  </w:r>
                </w:p>
              </w:tc>
              <w:tc>
                <w:tcPr>
                  <w:tcW w:w="1164" w:type="dxa"/>
                </w:tcPr>
                <w:p w14:paraId="62AF175F">
                  <w:pPr>
                    <w:pStyle w:val="15"/>
                  </w:pPr>
                  <w:r>
                    <w:rPr>
                      <w:rFonts w:hint="eastAsia"/>
                    </w:rPr>
                    <w:t>昼间</w:t>
                  </w:r>
                </w:p>
              </w:tc>
            </w:tr>
          </w:tbl>
          <w:p w14:paraId="541E5395">
            <w:pPr>
              <w:pStyle w:val="18"/>
              <w:jc w:val="center"/>
            </w:pPr>
            <w:r>
              <w:t>表4-</w:t>
            </w:r>
            <w:r>
              <w:rPr>
                <w:rFonts w:hint="eastAsia"/>
                <w:lang w:val="en-US" w:eastAsia="zh-CN"/>
              </w:rPr>
              <w:t>9</w:t>
            </w:r>
            <w:r>
              <w:rPr>
                <w:rFonts w:hint="eastAsia"/>
              </w:rPr>
              <w:t xml:space="preserve">  </w:t>
            </w:r>
            <w:r>
              <w:t>工业企业噪声源强调查清单</w:t>
            </w:r>
            <w:r>
              <w:rPr>
                <w:rFonts w:hint="eastAsia"/>
              </w:rPr>
              <w:t>（室内）</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906"/>
              <w:gridCol w:w="939"/>
              <w:gridCol w:w="794"/>
              <w:gridCol w:w="507"/>
              <w:gridCol w:w="661"/>
              <w:gridCol w:w="1030"/>
              <w:gridCol w:w="513"/>
              <w:gridCol w:w="961"/>
              <w:gridCol w:w="1030"/>
            </w:tblGrid>
            <w:tr w14:paraId="5DFF9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44" w:type="pct"/>
                  <w:vMerge w:val="restart"/>
                  <w:vAlign w:val="center"/>
                </w:tcPr>
                <w:p w14:paraId="7D2C3359">
                  <w:pPr>
                    <w:pStyle w:val="15"/>
                  </w:pPr>
                  <w:r>
                    <w:rPr>
                      <w:rFonts w:hint="eastAsia"/>
                    </w:rPr>
                    <w:t>位置</w:t>
                  </w:r>
                </w:p>
              </w:tc>
              <w:tc>
                <w:tcPr>
                  <w:tcW w:w="574" w:type="pct"/>
                  <w:vMerge w:val="restart"/>
                  <w:vAlign w:val="center"/>
                </w:tcPr>
                <w:p w14:paraId="5B737682">
                  <w:pPr>
                    <w:pStyle w:val="15"/>
                  </w:pPr>
                  <w:r>
                    <w:rPr>
                      <w:rFonts w:hint="eastAsia"/>
                    </w:rPr>
                    <w:t>设备</w:t>
                  </w:r>
                </w:p>
              </w:tc>
              <w:tc>
                <w:tcPr>
                  <w:tcW w:w="595" w:type="pct"/>
                  <w:vMerge w:val="restart"/>
                  <w:vAlign w:val="center"/>
                </w:tcPr>
                <w:p w14:paraId="2DDCA53C">
                  <w:pPr>
                    <w:pStyle w:val="15"/>
                  </w:pPr>
                  <w:r>
                    <w:rPr>
                      <w:rFonts w:hint="eastAsia"/>
                      <w:lang w:val="en-US" w:eastAsia="zh-CN"/>
                    </w:rPr>
                    <w:t>声功率级</w:t>
                  </w:r>
                  <w:r>
                    <w:t>/dB（A）</w:t>
                  </w:r>
                </w:p>
              </w:tc>
              <w:tc>
                <w:tcPr>
                  <w:tcW w:w="503" w:type="pct"/>
                  <w:vMerge w:val="restart"/>
                  <w:vAlign w:val="center"/>
                </w:tcPr>
                <w:p w14:paraId="3BDA1A35">
                  <w:pPr>
                    <w:pStyle w:val="15"/>
                  </w:pPr>
                  <w:r>
                    <w:t>声源控制措施</w:t>
                  </w:r>
                </w:p>
              </w:tc>
              <w:tc>
                <w:tcPr>
                  <w:tcW w:w="740" w:type="pct"/>
                  <w:gridSpan w:val="2"/>
                  <w:vMerge w:val="restart"/>
                  <w:vAlign w:val="center"/>
                </w:tcPr>
                <w:p w14:paraId="09C853B1">
                  <w:pPr>
                    <w:pStyle w:val="15"/>
                  </w:pPr>
                  <w:r>
                    <w:t>距室内边界距离/m</w:t>
                  </w:r>
                </w:p>
              </w:tc>
              <w:tc>
                <w:tcPr>
                  <w:tcW w:w="653" w:type="pct"/>
                  <w:vMerge w:val="restart"/>
                  <w:vAlign w:val="center"/>
                </w:tcPr>
                <w:p w14:paraId="7C915C88">
                  <w:pPr>
                    <w:pStyle w:val="15"/>
                  </w:pPr>
                  <w:r>
                    <w:t>室内边界噪声/dB（A）</w:t>
                  </w:r>
                </w:p>
              </w:tc>
              <w:tc>
                <w:tcPr>
                  <w:tcW w:w="325" w:type="pct"/>
                  <w:vMerge w:val="restart"/>
                  <w:vAlign w:val="center"/>
                </w:tcPr>
                <w:p w14:paraId="0D223AE0">
                  <w:pPr>
                    <w:pStyle w:val="15"/>
                  </w:pPr>
                  <w:r>
                    <w:t>运行时段</w:t>
                  </w:r>
                </w:p>
              </w:tc>
              <w:tc>
                <w:tcPr>
                  <w:tcW w:w="609" w:type="pct"/>
                  <w:vMerge w:val="restart"/>
                  <w:vAlign w:val="center"/>
                </w:tcPr>
                <w:p w14:paraId="71AC6A07">
                  <w:pPr>
                    <w:pStyle w:val="15"/>
                  </w:pPr>
                  <w:r>
                    <w:t>建筑物插入损失/dB（A）</w:t>
                  </w:r>
                </w:p>
              </w:tc>
              <w:tc>
                <w:tcPr>
                  <w:tcW w:w="653" w:type="pct"/>
                  <w:vMerge w:val="restart"/>
                  <w:vAlign w:val="center"/>
                </w:tcPr>
                <w:p w14:paraId="5E621C8B">
                  <w:pPr>
                    <w:pStyle w:val="15"/>
                  </w:pPr>
                  <w:r>
                    <w:t>建筑物外噪声</w:t>
                  </w:r>
                </w:p>
                <w:p w14:paraId="7490DA63">
                  <w:pPr>
                    <w:pStyle w:val="15"/>
                  </w:pPr>
                  <w:r>
                    <w:t>/dB（A）</w:t>
                  </w:r>
                </w:p>
              </w:tc>
            </w:tr>
            <w:tr w14:paraId="57B5C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44" w:type="pct"/>
                  <w:vMerge w:val="continue"/>
                  <w:vAlign w:val="center"/>
                </w:tcPr>
                <w:p w14:paraId="27BC8AF1">
                  <w:pPr>
                    <w:pStyle w:val="15"/>
                  </w:pPr>
                </w:p>
              </w:tc>
              <w:tc>
                <w:tcPr>
                  <w:tcW w:w="574" w:type="pct"/>
                  <w:vMerge w:val="continue"/>
                  <w:vAlign w:val="center"/>
                </w:tcPr>
                <w:p w14:paraId="639F8F67">
                  <w:pPr>
                    <w:pStyle w:val="15"/>
                  </w:pPr>
                </w:p>
              </w:tc>
              <w:tc>
                <w:tcPr>
                  <w:tcW w:w="595" w:type="pct"/>
                  <w:vMerge w:val="continue"/>
                  <w:vAlign w:val="center"/>
                </w:tcPr>
                <w:p w14:paraId="1E40253B">
                  <w:pPr>
                    <w:pStyle w:val="15"/>
                  </w:pPr>
                </w:p>
              </w:tc>
              <w:tc>
                <w:tcPr>
                  <w:tcW w:w="503" w:type="pct"/>
                  <w:vMerge w:val="continue"/>
                  <w:vAlign w:val="center"/>
                </w:tcPr>
                <w:p w14:paraId="27524BC6">
                  <w:pPr>
                    <w:pStyle w:val="15"/>
                  </w:pPr>
                </w:p>
              </w:tc>
              <w:tc>
                <w:tcPr>
                  <w:tcW w:w="740" w:type="pct"/>
                  <w:gridSpan w:val="2"/>
                  <w:vMerge w:val="continue"/>
                  <w:vAlign w:val="center"/>
                </w:tcPr>
                <w:p w14:paraId="3AE81EBB">
                  <w:pPr>
                    <w:pStyle w:val="15"/>
                  </w:pPr>
                </w:p>
              </w:tc>
              <w:tc>
                <w:tcPr>
                  <w:tcW w:w="653" w:type="pct"/>
                  <w:vMerge w:val="continue"/>
                  <w:vAlign w:val="center"/>
                </w:tcPr>
                <w:p w14:paraId="5015EE91">
                  <w:pPr>
                    <w:pStyle w:val="15"/>
                  </w:pPr>
                </w:p>
              </w:tc>
              <w:tc>
                <w:tcPr>
                  <w:tcW w:w="325" w:type="pct"/>
                  <w:vMerge w:val="continue"/>
                  <w:vAlign w:val="center"/>
                </w:tcPr>
                <w:p w14:paraId="06090847">
                  <w:pPr>
                    <w:pStyle w:val="15"/>
                  </w:pPr>
                </w:p>
              </w:tc>
              <w:tc>
                <w:tcPr>
                  <w:tcW w:w="609" w:type="pct"/>
                  <w:vMerge w:val="continue"/>
                  <w:vAlign w:val="center"/>
                </w:tcPr>
                <w:p w14:paraId="49326FE8">
                  <w:pPr>
                    <w:pStyle w:val="15"/>
                  </w:pPr>
                </w:p>
              </w:tc>
              <w:tc>
                <w:tcPr>
                  <w:tcW w:w="653" w:type="pct"/>
                  <w:vMerge w:val="continue"/>
                  <w:vAlign w:val="center"/>
                </w:tcPr>
                <w:p w14:paraId="5359D18F">
                  <w:pPr>
                    <w:pStyle w:val="15"/>
                  </w:pPr>
                </w:p>
              </w:tc>
            </w:tr>
            <w:tr w14:paraId="7D87C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restart"/>
                  <w:vAlign w:val="center"/>
                </w:tcPr>
                <w:p w14:paraId="2AFE06E2">
                  <w:pPr>
                    <w:pStyle w:val="15"/>
                    <w:rPr>
                      <w:rFonts w:hint="default" w:eastAsia="宋体"/>
                      <w:lang w:val="en-US" w:eastAsia="zh-CN"/>
                    </w:rPr>
                  </w:pPr>
                  <w:r>
                    <w:rPr>
                      <w:rFonts w:hint="eastAsia"/>
                      <w:lang w:val="en-US" w:eastAsia="zh-CN"/>
                    </w:rPr>
                    <w:t>生产车间</w:t>
                  </w:r>
                </w:p>
              </w:tc>
              <w:tc>
                <w:tcPr>
                  <w:tcW w:w="574" w:type="pct"/>
                  <w:vMerge w:val="restart"/>
                  <w:vAlign w:val="center"/>
                </w:tcPr>
                <w:p w14:paraId="52ABA5DE">
                  <w:pPr>
                    <w:pStyle w:val="15"/>
                  </w:pPr>
                  <w:r>
                    <w:rPr>
                      <w:rFonts w:hint="eastAsia"/>
                    </w:rPr>
                    <w:t>洗碗生产线</w:t>
                  </w:r>
                </w:p>
              </w:tc>
              <w:tc>
                <w:tcPr>
                  <w:tcW w:w="595" w:type="pct"/>
                  <w:vMerge w:val="restart"/>
                  <w:vAlign w:val="center"/>
                </w:tcPr>
                <w:p w14:paraId="2200EF6F">
                  <w:pPr>
                    <w:pStyle w:val="15"/>
                  </w:pPr>
                  <w:r>
                    <w:rPr>
                      <w:rFonts w:hint="eastAsia"/>
                    </w:rPr>
                    <w:t>75</w:t>
                  </w:r>
                </w:p>
              </w:tc>
              <w:tc>
                <w:tcPr>
                  <w:tcW w:w="503" w:type="pct"/>
                  <w:vMerge w:val="restart"/>
                  <w:vAlign w:val="center"/>
                </w:tcPr>
                <w:p w14:paraId="70DFA7E5">
                  <w:pPr>
                    <w:pStyle w:val="15"/>
                  </w:pPr>
                  <w:r>
                    <w:t>基础减振、厂房隔声等</w:t>
                  </w:r>
                </w:p>
              </w:tc>
              <w:tc>
                <w:tcPr>
                  <w:tcW w:w="321" w:type="pct"/>
                  <w:vAlign w:val="center"/>
                </w:tcPr>
                <w:p w14:paraId="6648078C">
                  <w:pPr>
                    <w:pStyle w:val="15"/>
                  </w:pPr>
                  <w:r>
                    <w:rPr>
                      <w:rFonts w:hint="eastAsia"/>
                    </w:rPr>
                    <w:t>东</w:t>
                  </w:r>
                </w:p>
              </w:tc>
              <w:tc>
                <w:tcPr>
                  <w:tcW w:w="419" w:type="pct"/>
                  <w:vAlign w:val="center"/>
                </w:tcPr>
                <w:p w14:paraId="1774E8C5">
                  <w:pPr>
                    <w:pStyle w:val="15"/>
                    <w:rPr>
                      <w:rFonts w:hint="eastAsia" w:eastAsia="宋体"/>
                      <w:lang w:eastAsia="zh-CN"/>
                    </w:rPr>
                  </w:pPr>
                  <w:r>
                    <w:rPr>
                      <w:rFonts w:hint="eastAsia"/>
                      <w:lang w:val="en-US" w:eastAsia="zh-CN"/>
                    </w:rPr>
                    <w:t>25</w:t>
                  </w:r>
                </w:p>
              </w:tc>
              <w:tc>
                <w:tcPr>
                  <w:tcW w:w="653" w:type="pct"/>
                  <w:vAlign w:val="center"/>
                </w:tcPr>
                <w:p w14:paraId="4A41A794">
                  <w:pPr>
                    <w:pStyle w:val="15"/>
                    <w:rPr>
                      <w:rFonts w:hint="default" w:eastAsia="宋体"/>
                      <w:lang w:val="en-US" w:eastAsia="zh-CN"/>
                    </w:rPr>
                  </w:pPr>
                  <w:r>
                    <w:rPr>
                      <w:rFonts w:hint="eastAsia"/>
                      <w:lang w:val="en-US" w:eastAsia="zh-CN"/>
                    </w:rPr>
                    <w:t>47.0</w:t>
                  </w:r>
                </w:p>
              </w:tc>
              <w:tc>
                <w:tcPr>
                  <w:tcW w:w="325" w:type="pct"/>
                  <w:vMerge w:val="restart"/>
                  <w:vAlign w:val="center"/>
                </w:tcPr>
                <w:p w14:paraId="3917B3E1">
                  <w:pPr>
                    <w:pStyle w:val="15"/>
                  </w:pPr>
                  <w:r>
                    <w:rPr>
                      <w:rFonts w:hint="eastAsia"/>
                    </w:rPr>
                    <w:t>昼间</w:t>
                  </w:r>
                </w:p>
              </w:tc>
              <w:tc>
                <w:tcPr>
                  <w:tcW w:w="609" w:type="pct"/>
                  <w:vMerge w:val="restart"/>
                  <w:vAlign w:val="center"/>
                </w:tcPr>
                <w:p w14:paraId="437B5B97">
                  <w:pPr>
                    <w:pStyle w:val="15"/>
                  </w:pPr>
                  <w:r>
                    <w:rPr>
                      <w:rFonts w:hint="eastAsia"/>
                    </w:rPr>
                    <w:t>25</w:t>
                  </w:r>
                </w:p>
              </w:tc>
              <w:tc>
                <w:tcPr>
                  <w:tcW w:w="653" w:type="pct"/>
                  <w:vAlign w:val="center"/>
                </w:tcPr>
                <w:p w14:paraId="7C12B239">
                  <w:pPr>
                    <w:pStyle w:val="15"/>
                    <w:rPr>
                      <w:rFonts w:hint="default" w:eastAsia="宋体"/>
                      <w:lang w:val="en-US" w:eastAsia="zh-CN"/>
                    </w:rPr>
                  </w:pPr>
                  <w:r>
                    <w:rPr>
                      <w:rFonts w:hint="eastAsia"/>
                      <w:lang w:val="en-US" w:eastAsia="zh-CN"/>
                    </w:rPr>
                    <w:t>22.0</w:t>
                  </w:r>
                </w:p>
              </w:tc>
            </w:tr>
            <w:tr w14:paraId="22964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3F12D005">
                  <w:pPr>
                    <w:pStyle w:val="15"/>
                  </w:pPr>
                </w:p>
              </w:tc>
              <w:tc>
                <w:tcPr>
                  <w:tcW w:w="574" w:type="pct"/>
                  <w:vMerge w:val="continue"/>
                  <w:vAlign w:val="center"/>
                </w:tcPr>
                <w:p w14:paraId="3008352B">
                  <w:pPr>
                    <w:pStyle w:val="15"/>
                  </w:pPr>
                </w:p>
              </w:tc>
              <w:tc>
                <w:tcPr>
                  <w:tcW w:w="595" w:type="pct"/>
                  <w:vMerge w:val="continue"/>
                  <w:vAlign w:val="center"/>
                </w:tcPr>
                <w:p w14:paraId="513E26E1">
                  <w:pPr>
                    <w:pStyle w:val="15"/>
                  </w:pPr>
                </w:p>
              </w:tc>
              <w:tc>
                <w:tcPr>
                  <w:tcW w:w="503" w:type="pct"/>
                  <w:vMerge w:val="continue"/>
                  <w:vAlign w:val="center"/>
                </w:tcPr>
                <w:p w14:paraId="62CA6275">
                  <w:pPr>
                    <w:pStyle w:val="15"/>
                  </w:pPr>
                </w:p>
              </w:tc>
              <w:tc>
                <w:tcPr>
                  <w:tcW w:w="321" w:type="pct"/>
                  <w:vAlign w:val="center"/>
                </w:tcPr>
                <w:p w14:paraId="20A1BED2">
                  <w:pPr>
                    <w:pStyle w:val="15"/>
                  </w:pPr>
                  <w:r>
                    <w:rPr>
                      <w:rFonts w:hint="eastAsia"/>
                    </w:rPr>
                    <w:t>南</w:t>
                  </w:r>
                </w:p>
              </w:tc>
              <w:tc>
                <w:tcPr>
                  <w:tcW w:w="419" w:type="pct"/>
                  <w:vAlign w:val="center"/>
                </w:tcPr>
                <w:p w14:paraId="24AA28F4">
                  <w:pPr>
                    <w:pStyle w:val="15"/>
                    <w:rPr>
                      <w:rFonts w:hint="eastAsia" w:eastAsia="宋体"/>
                      <w:lang w:eastAsia="zh-CN"/>
                    </w:rPr>
                  </w:pPr>
                  <w:r>
                    <w:rPr>
                      <w:rFonts w:hint="eastAsia"/>
                      <w:lang w:val="en-US" w:eastAsia="zh-CN"/>
                    </w:rPr>
                    <w:t>5</w:t>
                  </w:r>
                </w:p>
              </w:tc>
              <w:tc>
                <w:tcPr>
                  <w:tcW w:w="653" w:type="pct"/>
                  <w:vAlign w:val="center"/>
                </w:tcPr>
                <w:p w14:paraId="09D8C20D">
                  <w:pPr>
                    <w:pStyle w:val="15"/>
                    <w:rPr>
                      <w:rFonts w:hint="default" w:eastAsia="宋体"/>
                      <w:lang w:val="en-US" w:eastAsia="zh-CN"/>
                    </w:rPr>
                  </w:pPr>
                  <w:r>
                    <w:rPr>
                      <w:rFonts w:hint="eastAsia"/>
                      <w:lang w:val="en-US" w:eastAsia="zh-CN"/>
                    </w:rPr>
                    <w:t>61.0</w:t>
                  </w:r>
                </w:p>
              </w:tc>
              <w:tc>
                <w:tcPr>
                  <w:tcW w:w="325" w:type="pct"/>
                  <w:vMerge w:val="continue"/>
                  <w:vAlign w:val="center"/>
                </w:tcPr>
                <w:p w14:paraId="1F3441A8">
                  <w:pPr>
                    <w:pStyle w:val="15"/>
                  </w:pPr>
                </w:p>
              </w:tc>
              <w:tc>
                <w:tcPr>
                  <w:tcW w:w="609" w:type="pct"/>
                  <w:vMerge w:val="continue"/>
                  <w:vAlign w:val="center"/>
                </w:tcPr>
                <w:p w14:paraId="2E505A95">
                  <w:pPr>
                    <w:pStyle w:val="15"/>
                  </w:pPr>
                </w:p>
              </w:tc>
              <w:tc>
                <w:tcPr>
                  <w:tcW w:w="653" w:type="pct"/>
                  <w:vAlign w:val="center"/>
                </w:tcPr>
                <w:p w14:paraId="04A9902E">
                  <w:pPr>
                    <w:pStyle w:val="15"/>
                    <w:rPr>
                      <w:rFonts w:hint="default" w:eastAsia="宋体"/>
                      <w:lang w:val="en-US" w:eastAsia="zh-CN"/>
                    </w:rPr>
                  </w:pPr>
                  <w:r>
                    <w:rPr>
                      <w:rFonts w:hint="eastAsia"/>
                      <w:lang w:val="en-US" w:eastAsia="zh-CN"/>
                    </w:rPr>
                    <w:t>36.0</w:t>
                  </w:r>
                </w:p>
              </w:tc>
            </w:tr>
            <w:tr w14:paraId="3F62B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49611E5C">
                  <w:pPr>
                    <w:pStyle w:val="15"/>
                  </w:pPr>
                </w:p>
              </w:tc>
              <w:tc>
                <w:tcPr>
                  <w:tcW w:w="574" w:type="pct"/>
                  <w:vMerge w:val="continue"/>
                  <w:vAlign w:val="center"/>
                </w:tcPr>
                <w:p w14:paraId="6C9F87F7">
                  <w:pPr>
                    <w:pStyle w:val="15"/>
                  </w:pPr>
                </w:p>
              </w:tc>
              <w:tc>
                <w:tcPr>
                  <w:tcW w:w="595" w:type="pct"/>
                  <w:vMerge w:val="continue"/>
                  <w:vAlign w:val="center"/>
                </w:tcPr>
                <w:p w14:paraId="6F458DCA">
                  <w:pPr>
                    <w:pStyle w:val="15"/>
                  </w:pPr>
                </w:p>
              </w:tc>
              <w:tc>
                <w:tcPr>
                  <w:tcW w:w="503" w:type="pct"/>
                  <w:vMerge w:val="continue"/>
                  <w:vAlign w:val="center"/>
                </w:tcPr>
                <w:p w14:paraId="6A4AA324">
                  <w:pPr>
                    <w:pStyle w:val="15"/>
                  </w:pPr>
                </w:p>
              </w:tc>
              <w:tc>
                <w:tcPr>
                  <w:tcW w:w="321" w:type="pct"/>
                  <w:vAlign w:val="center"/>
                </w:tcPr>
                <w:p w14:paraId="5A66E25E">
                  <w:pPr>
                    <w:pStyle w:val="15"/>
                  </w:pPr>
                  <w:r>
                    <w:rPr>
                      <w:rFonts w:hint="eastAsia"/>
                    </w:rPr>
                    <w:t>西</w:t>
                  </w:r>
                </w:p>
              </w:tc>
              <w:tc>
                <w:tcPr>
                  <w:tcW w:w="419" w:type="pct"/>
                  <w:vAlign w:val="center"/>
                </w:tcPr>
                <w:p w14:paraId="0F5A2D17">
                  <w:pPr>
                    <w:pStyle w:val="15"/>
                  </w:pPr>
                  <w:r>
                    <w:rPr>
                      <w:rFonts w:hint="eastAsia"/>
                    </w:rPr>
                    <w:t>3</w:t>
                  </w:r>
                </w:p>
              </w:tc>
              <w:tc>
                <w:tcPr>
                  <w:tcW w:w="653" w:type="pct"/>
                  <w:vAlign w:val="center"/>
                </w:tcPr>
                <w:p w14:paraId="344E320E">
                  <w:pPr>
                    <w:pStyle w:val="15"/>
                    <w:rPr>
                      <w:rFonts w:hint="default" w:eastAsia="宋体"/>
                      <w:lang w:val="en-US" w:eastAsia="zh-CN"/>
                    </w:rPr>
                  </w:pPr>
                  <w:r>
                    <w:rPr>
                      <w:rFonts w:hint="eastAsia"/>
                      <w:lang w:val="en-US" w:eastAsia="zh-CN"/>
                    </w:rPr>
                    <w:t>65.4</w:t>
                  </w:r>
                </w:p>
              </w:tc>
              <w:tc>
                <w:tcPr>
                  <w:tcW w:w="325" w:type="pct"/>
                  <w:vMerge w:val="continue"/>
                  <w:vAlign w:val="center"/>
                </w:tcPr>
                <w:p w14:paraId="3141CCE7">
                  <w:pPr>
                    <w:pStyle w:val="15"/>
                  </w:pPr>
                </w:p>
              </w:tc>
              <w:tc>
                <w:tcPr>
                  <w:tcW w:w="609" w:type="pct"/>
                  <w:vMerge w:val="continue"/>
                  <w:vAlign w:val="center"/>
                </w:tcPr>
                <w:p w14:paraId="423B21CE">
                  <w:pPr>
                    <w:pStyle w:val="15"/>
                  </w:pPr>
                </w:p>
              </w:tc>
              <w:tc>
                <w:tcPr>
                  <w:tcW w:w="653" w:type="pct"/>
                  <w:vAlign w:val="center"/>
                </w:tcPr>
                <w:p w14:paraId="1ECCC260">
                  <w:pPr>
                    <w:pStyle w:val="15"/>
                    <w:rPr>
                      <w:rFonts w:hint="default" w:eastAsia="宋体"/>
                      <w:lang w:val="en-US" w:eastAsia="zh-CN"/>
                    </w:rPr>
                  </w:pPr>
                  <w:r>
                    <w:rPr>
                      <w:rFonts w:hint="eastAsia"/>
                      <w:lang w:val="en-US" w:eastAsia="zh-CN"/>
                    </w:rPr>
                    <w:t>35.4</w:t>
                  </w:r>
                </w:p>
              </w:tc>
            </w:tr>
            <w:tr w14:paraId="4BB5C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5A05FD68">
                  <w:pPr>
                    <w:pStyle w:val="15"/>
                  </w:pPr>
                </w:p>
              </w:tc>
              <w:tc>
                <w:tcPr>
                  <w:tcW w:w="574" w:type="pct"/>
                  <w:vMerge w:val="continue"/>
                  <w:vAlign w:val="center"/>
                </w:tcPr>
                <w:p w14:paraId="6C79816B">
                  <w:pPr>
                    <w:pStyle w:val="15"/>
                  </w:pPr>
                </w:p>
              </w:tc>
              <w:tc>
                <w:tcPr>
                  <w:tcW w:w="595" w:type="pct"/>
                  <w:vMerge w:val="continue"/>
                  <w:vAlign w:val="center"/>
                </w:tcPr>
                <w:p w14:paraId="244E7E33">
                  <w:pPr>
                    <w:pStyle w:val="15"/>
                  </w:pPr>
                </w:p>
              </w:tc>
              <w:tc>
                <w:tcPr>
                  <w:tcW w:w="503" w:type="pct"/>
                  <w:vMerge w:val="continue"/>
                  <w:vAlign w:val="center"/>
                </w:tcPr>
                <w:p w14:paraId="480FF8FD">
                  <w:pPr>
                    <w:pStyle w:val="15"/>
                  </w:pPr>
                </w:p>
              </w:tc>
              <w:tc>
                <w:tcPr>
                  <w:tcW w:w="321" w:type="pct"/>
                  <w:vAlign w:val="center"/>
                </w:tcPr>
                <w:p w14:paraId="70884104">
                  <w:pPr>
                    <w:pStyle w:val="15"/>
                  </w:pPr>
                  <w:r>
                    <w:rPr>
                      <w:rFonts w:hint="eastAsia"/>
                    </w:rPr>
                    <w:t>北</w:t>
                  </w:r>
                </w:p>
              </w:tc>
              <w:tc>
                <w:tcPr>
                  <w:tcW w:w="419" w:type="pct"/>
                  <w:vAlign w:val="center"/>
                </w:tcPr>
                <w:p w14:paraId="74ADE768">
                  <w:pPr>
                    <w:pStyle w:val="15"/>
                  </w:pPr>
                  <w:r>
                    <w:rPr>
                      <w:rFonts w:hint="eastAsia"/>
                    </w:rPr>
                    <w:t>5</w:t>
                  </w:r>
                </w:p>
              </w:tc>
              <w:tc>
                <w:tcPr>
                  <w:tcW w:w="653" w:type="pct"/>
                  <w:vAlign w:val="center"/>
                </w:tcPr>
                <w:p w14:paraId="7AE95ADB">
                  <w:pPr>
                    <w:pStyle w:val="15"/>
                    <w:rPr>
                      <w:rFonts w:hint="default" w:eastAsia="宋体"/>
                      <w:lang w:val="en-US" w:eastAsia="zh-CN"/>
                    </w:rPr>
                  </w:pPr>
                  <w:r>
                    <w:rPr>
                      <w:rFonts w:hint="eastAsia"/>
                      <w:lang w:val="en-US" w:eastAsia="zh-CN"/>
                    </w:rPr>
                    <w:t>61.0</w:t>
                  </w:r>
                </w:p>
              </w:tc>
              <w:tc>
                <w:tcPr>
                  <w:tcW w:w="325" w:type="pct"/>
                  <w:vMerge w:val="continue"/>
                  <w:vAlign w:val="center"/>
                </w:tcPr>
                <w:p w14:paraId="69088D2C">
                  <w:pPr>
                    <w:pStyle w:val="15"/>
                  </w:pPr>
                </w:p>
              </w:tc>
              <w:tc>
                <w:tcPr>
                  <w:tcW w:w="609" w:type="pct"/>
                  <w:vMerge w:val="continue"/>
                  <w:vAlign w:val="center"/>
                </w:tcPr>
                <w:p w14:paraId="3BB57FA7">
                  <w:pPr>
                    <w:pStyle w:val="15"/>
                  </w:pPr>
                </w:p>
              </w:tc>
              <w:tc>
                <w:tcPr>
                  <w:tcW w:w="653" w:type="pct"/>
                  <w:vAlign w:val="center"/>
                </w:tcPr>
                <w:p w14:paraId="5D1FE49F">
                  <w:pPr>
                    <w:pStyle w:val="15"/>
                    <w:rPr>
                      <w:rFonts w:hint="default" w:eastAsia="宋体"/>
                      <w:lang w:val="en-US" w:eastAsia="zh-CN"/>
                    </w:rPr>
                  </w:pPr>
                  <w:r>
                    <w:rPr>
                      <w:rFonts w:hint="eastAsia"/>
                      <w:lang w:val="en-US" w:eastAsia="zh-CN"/>
                    </w:rPr>
                    <w:t>36.0</w:t>
                  </w:r>
                </w:p>
              </w:tc>
            </w:tr>
            <w:tr w14:paraId="2F831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3396D037">
                  <w:pPr>
                    <w:pStyle w:val="15"/>
                  </w:pPr>
                </w:p>
              </w:tc>
              <w:tc>
                <w:tcPr>
                  <w:tcW w:w="574" w:type="pct"/>
                  <w:vMerge w:val="restart"/>
                  <w:vAlign w:val="center"/>
                </w:tcPr>
                <w:p w14:paraId="71A2210E">
                  <w:pPr>
                    <w:pStyle w:val="15"/>
                  </w:pPr>
                  <w:r>
                    <w:rPr>
                      <w:rFonts w:hint="eastAsia"/>
                    </w:rPr>
                    <w:t>洗筷勺生产线</w:t>
                  </w:r>
                </w:p>
              </w:tc>
              <w:tc>
                <w:tcPr>
                  <w:tcW w:w="595" w:type="pct"/>
                  <w:vMerge w:val="restart"/>
                  <w:vAlign w:val="center"/>
                </w:tcPr>
                <w:p w14:paraId="48624BF0">
                  <w:pPr>
                    <w:pStyle w:val="15"/>
                  </w:pPr>
                  <w:r>
                    <w:rPr>
                      <w:rFonts w:hint="eastAsia"/>
                    </w:rPr>
                    <w:t>75</w:t>
                  </w:r>
                </w:p>
              </w:tc>
              <w:tc>
                <w:tcPr>
                  <w:tcW w:w="503" w:type="pct"/>
                  <w:vMerge w:val="continue"/>
                  <w:vAlign w:val="center"/>
                </w:tcPr>
                <w:p w14:paraId="398FB216">
                  <w:pPr>
                    <w:pStyle w:val="15"/>
                  </w:pPr>
                </w:p>
              </w:tc>
              <w:tc>
                <w:tcPr>
                  <w:tcW w:w="321" w:type="pct"/>
                  <w:vAlign w:val="center"/>
                </w:tcPr>
                <w:p w14:paraId="630519C1">
                  <w:pPr>
                    <w:pStyle w:val="15"/>
                  </w:pPr>
                  <w:r>
                    <w:rPr>
                      <w:rFonts w:hint="eastAsia"/>
                    </w:rPr>
                    <w:t>东</w:t>
                  </w:r>
                </w:p>
              </w:tc>
              <w:tc>
                <w:tcPr>
                  <w:tcW w:w="419" w:type="pct"/>
                  <w:vAlign w:val="center"/>
                </w:tcPr>
                <w:p w14:paraId="2336337E">
                  <w:pPr>
                    <w:pStyle w:val="15"/>
                    <w:rPr>
                      <w:rFonts w:hint="default" w:eastAsia="宋体"/>
                      <w:lang w:val="en-US" w:eastAsia="zh-CN"/>
                    </w:rPr>
                  </w:pPr>
                  <w:r>
                    <w:rPr>
                      <w:rFonts w:hint="eastAsia"/>
                      <w:lang w:val="en-US" w:eastAsia="zh-CN"/>
                    </w:rPr>
                    <w:t>25</w:t>
                  </w:r>
                </w:p>
              </w:tc>
              <w:tc>
                <w:tcPr>
                  <w:tcW w:w="653" w:type="pct"/>
                  <w:vAlign w:val="center"/>
                </w:tcPr>
                <w:p w14:paraId="3BAAD6B4">
                  <w:pPr>
                    <w:pStyle w:val="15"/>
                    <w:rPr>
                      <w:rFonts w:hint="default" w:eastAsia="宋体"/>
                      <w:lang w:val="en-US" w:eastAsia="zh-CN"/>
                    </w:rPr>
                  </w:pPr>
                  <w:r>
                    <w:rPr>
                      <w:rFonts w:hint="eastAsia"/>
                      <w:lang w:val="en-US" w:eastAsia="zh-CN"/>
                    </w:rPr>
                    <w:t>47.0</w:t>
                  </w:r>
                </w:p>
              </w:tc>
              <w:tc>
                <w:tcPr>
                  <w:tcW w:w="325" w:type="pct"/>
                  <w:vMerge w:val="continue"/>
                  <w:vAlign w:val="center"/>
                </w:tcPr>
                <w:p w14:paraId="4014A92F">
                  <w:pPr>
                    <w:pStyle w:val="15"/>
                  </w:pPr>
                </w:p>
              </w:tc>
              <w:tc>
                <w:tcPr>
                  <w:tcW w:w="609" w:type="pct"/>
                  <w:vMerge w:val="continue"/>
                  <w:vAlign w:val="center"/>
                </w:tcPr>
                <w:p w14:paraId="4377CCF2">
                  <w:pPr>
                    <w:pStyle w:val="15"/>
                  </w:pPr>
                </w:p>
              </w:tc>
              <w:tc>
                <w:tcPr>
                  <w:tcW w:w="653" w:type="pct"/>
                  <w:vAlign w:val="center"/>
                </w:tcPr>
                <w:p w14:paraId="2AE22463">
                  <w:pPr>
                    <w:pStyle w:val="15"/>
                    <w:rPr>
                      <w:rFonts w:hint="default" w:eastAsia="宋体"/>
                      <w:lang w:val="en-US" w:eastAsia="zh-CN"/>
                    </w:rPr>
                  </w:pPr>
                  <w:r>
                    <w:rPr>
                      <w:rFonts w:hint="eastAsia"/>
                      <w:lang w:val="en-US" w:eastAsia="zh-CN"/>
                    </w:rPr>
                    <w:t>22.0</w:t>
                  </w:r>
                </w:p>
              </w:tc>
            </w:tr>
            <w:tr w14:paraId="272E2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38964CF6">
                  <w:pPr>
                    <w:pStyle w:val="15"/>
                  </w:pPr>
                </w:p>
              </w:tc>
              <w:tc>
                <w:tcPr>
                  <w:tcW w:w="574" w:type="pct"/>
                  <w:vMerge w:val="continue"/>
                  <w:vAlign w:val="center"/>
                </w:tcPr>
                <w:p w14:paraId="59B8EF56">
                  <w:pPr>
                    <w:pStyle w:val="15"/>
                  </w:pPr>
                </w:p>
              </w:tc>
              <w:tc>
                <w:tcPr>
                  <w:tcW w:w="595" w:type="pct"/>
                  <w:vMerge w:val="continue"/>
                  <w:vAlign w:val="center"/>
                </w:tcPr>
                <w:p w14:paraId="273EE854">
                  <w:pPr>
                    <w:pStyle w:val="15"/>
                  </w:pPr>
                </w:p>
              </w:tc>
              <w:tc>
                <w:tcPr>
                  <w:tcW w:w="503" w:type="pct"/>
                  <w:vMerge w:val="continue"/>
                  <w:vAlign w:val="center"/>
                </w:tcPr>
                <w:p w14:paraId="3C851443">
                  <w:pPr>
                    <w:pStyle w:val="15"/>
                  </w:pPr>
                </w:p>
              </w:tc>
              <w:tc>
                <w:tcPr>
                  <w:tcW w:w="321" w:type="pct"/>
                  <w:vAlign w:val="center"/>
                </w:tcPr>
                <w:p w14:paraId="153DB9C5">
                  <w:pPr>
                    <w:pStyle w:val="15"/>
                  </w:pPr>
                  <w:r>
                    <w:rPr>
                      <w:rFonts w:hint="eastAsia"/>
                    </w:rPr>
                    <w:t>南</w:t>
                  </w:r>
                </w:p>
              </w:tc>
              <w:tc>
                <w:tcPr>
                  <w:tcW w:w="419" w:type="pct"/>
                  <w:vAlign w:val="center"/>
                </w:tcPr>
                <w:p w14:paraId="6D987B1D">
                  <w:pPr>
                    <w:pStyle w:val="15"/>
                    <w:rPr>
                      <w:rFonts w:hint="eastAsia" w:eastAsia="宋体"/>
                      <w:lang w:val="en-US" w:eastAsia="zh-CN"/>
                    </w:rPr>
                  </w:pPr>
                  <w:r>
                    <w:rPr>
                      <w:rFonts w:hint="eastAsia"/>
                      <w:lang w:val="en-US" w:eastAsia="zh-CN"/>
                    </w:rPr>
                    <w:t>2</w:t>
                  </w:r>
                </w:p>
              </w:tc>
              <w:tc>
                <w:tcPr>
                  <w:tcW w:w="653" w:type="pct"/>
                  <w:vAlign w:val="center"/>
                </w:tcPr>
                <w:p w14:paraId="4FDD7F75">
                  <w:pPr>
                    <w:pStyle w:val="15"/>
                    <w:rPr>
                      <w:rFonts w:hint="default" w:eastAsia="宋体"/>
                      <w:lang w:val="en-US" w:eastAsia="zh-CN"/>
                    </w:rPr>
                  </w:pPr>
                  <w:r>
                    <w:rPr>
                      <w:rFonts w:hint="eastAsia"/>
                      <w:lang w:val="en-US" w:eastAsia="zh-CN"/>
                    </w:rPr>
                    <w:t>68.9</w:t>
                  </w:r>
                </w:p>
              </w:tc>
              <w:tc>
                <w:tcPr>
                  <w:tcW w:w="325" w:type="pct"/>
                  <w:vMerge w:val="continue"/>
                  <w:vAlign w:val="center"/>
                </w:tcPr>
                <w:p w14:paraId="47820392">
                  <w:pPr>
                    <w:pStyle w:val="15"/>
                  </w:pPr>
                </w:p>
              </w:tc>
              <w:tc>
                <w:tcPr>
                  <w:tcW w:w="609" w:type="pct"/>
                  <w:vMerge w:val="continue"/>
                  <w:vAlign w:val="center"/>
                </w:tcPr>
                <w:p w14:paraId="700927B2">
                  <w:pPr>
                    <w:pStyle w:val="15"/>
                  </w:pPr>
                </w:p>
              </w:tc>
              <w:tc>
                <w:tcPr>
                  <w:tcW w:w="653" w:type="pct"/>
                  <w:vAlign w:val="center"/>
                </w:tcPr>
                <w:p w14:paraId="2B42E5D2">
                  <w:pPr>
                    <w:pStyle w:val="15"/>
                    <w:rPr>
                      <w:rFonts w:hint="default" w:eastAsia="宋体"/>
                      <w:lang w:val="en-US" w:eastAsia="zh-CN"/>
                    </w:rPr>
                  </w:pPr>
                  <w:r>
                    <w:rPr>
                      <w:rFonts w:hint="eastAsia"/>
                      <w:lang w:val="en-US" w:eastAsia="zh-CN"/>
                    </w:rPr>
                    <w:t>43.9</w:t>
                  </w:r>
                </w:p>
              </w:tc>
            </w:tr>
            <w:tr w14:paraId="37E02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091178F1">
                  <w:pPr>
                    <w:pStyle w:val="15"/>
                  </w:pPr>
                </w:p>
              </w:tc>
              <w:tc>
                <w:tcPr>
                  <w:tcW w:w="574" w:type="pct"/>
                  <w:vMerge w:val="continue"/>
                  <w:vAlign w:val="center"/>
                </w:tcPr>
                <w:p w14:paraId="01F7D4BD">
                  <w:pPr>
                    <w:pStyle w:val="15"/>
                  </w:pPr>
                </w:p>
              </w:tc>
              <w:tc>
                <w:tcPr>
                  <w:tcW w:w="595" w:type="pct"/>
                  <w:vMerge w:val="continue"/>
                  <w:vAlign w:val="center"/>
                </w:tcPr>
                <w:p w14:paraId="1279149F">
                  <w:pPr>
                    <w:pStyle w:val="15"/>
                  </w:pPr>
                </w:p>
              </w:tc>
              <w:tc>
                <w:tcPr>
                  <w:tcW w:w="503" w:type="pct"/>
                  <w:vMerge w:val="continue"/>
                  <w:vAlign w:val="center"/>
                </w:tcPr>
                <w:p w14:paraId="53246906">
                  <w:pPr>
                    <w:pStyle w:val="15"/>
                  </w:pPr>
                </w:p>
              </w:tc>
              <w:tc>
                <w:tcPr>
                  <w:tcW w:w="321" w:type="pct"/>
                  <w:vAlign w:val="center"/>
                </w:tcPr>
                <w:p w14:paraId="6BF4F2B5">
                  <w:pPr>
                    <w:pStyle w:val="15"/>
                  </w:pPr>
                  <w:r>
                    <w:rPr>
                      <w:rFonts w:hint="eastAsia"/>
                    </w:rPr>
                    <w:t>西</w:t>
                  </w:r>
                </w:p>
              </w:tc>
              <w:tc>
                <w:tcPr>
                  <w:tcW w:w="419" w:type="pct"/>
                  <w:vAlign w:val="center"/>
                </w:tcPr>
                <w:p w14:paraId="3DFA1D68">
                  <w:pPr>
                    <w:pStyle w:val="15"/>
                    <w:rPr>
                      <w:rFonts w:hint="eastAsia" w:eastAsia="宋体"/>
                      <w:lang w:val="en-US" w:eastAsia="zh-CN"/>
                    </w:rPr>
                  </w:pPr>
                  <w:r>
                    <w:rPr>
                      <w:rFonts w:hint="eastAsia"/>
                      <w:lang w:val="en-US" w:eastAsia="zh-CN"/>
                    </w:rPr>
                    <w:t>5</w:t>
                  </w:r>
                </w:p>
              </w:tc>
              <w:tc>
                <w:tcPr>
                  <w:tcW w:w="653" w:type="pct"/>
                  <w:vAlign w:val="center"/>
                </w:tcPr>
                <w:p w14:paraId="2B12283B">
                  <w:pPr>
                    <w:pStyle w:val="15"/>
                    <w:rPr>
                      <w:rFonts w:hint="default" w:eastAsia="宋体"/>
                      <w:lang w:val="en-US" w:eastAsia="zh-CN"/>
                    </w:rPr>
                  </w:pPr>
                  <w:r>
                    <w:rPr>
                      <w:rFonts w:hint="eastAsia"/>
                      <w:lang w:val="en-US" w:eastAsia="zh-CN"/>
                    </w:rPr>
                    <w:t>61.0</w:t>
                  </w:r>
                </w:p>
              </w:tc>
              <w:tc>
                <w:tcPr>
                  <w:tcW w:w="325" w:type="pct"/>
                  <w:vMerge w:val="continue"/>
                  <w:vAlign w:val="center"/>
                </w:tcPr>
                <w:p w14:paraId="2E92B137">
                  <w:pPr>
                    <w:pStyle w:val="15"/>
                  </w:pPr>
                </w:p>
              </w:tc>
              <w:tc>
                <w:tcPr>
                  <w:tcW w:w="609" w:type="pct"/>
                  <w:vMerge w:val="continue"/>
                  <w:vAlign w:val="center"/>
                </w:tcPr>
                <w:p w14:paraId="43F90585">
                  <w:pPr>
                    <w:pStyle w:val="15"/>
                  </w:pPr>
                </w:p>
              </w:tc>
              <w:tc>
                <w:tcPr>
                  <w:tcW w:w="653" w:type="pct"/>
                  <w:vAlign w:val="center"/>
                </w:tcPr>
                <w:p w14:paraId="698190A4">
                  <w:pPr>
                    <w:pStyle w:val="15"/>
                    <w:rPr>
                      <w:rFonts w:hint="default" w:eastAsia="宋体"/>
                      <w:lang w:val="en-US" w:eastAsia="zh-CN"/>
                    </w:rPr>
                  </w:pPr>
                  <w:r>
                    <w:rPr>
                      <w:rFonts w:hint="eastAsia"/>
                      <w:lang w:val="en-US" w:eastAsia="zh-CN"/>
                    </w:rPr>
                    <w:t>36.0</w:t>
                  </w:r>
                </w:p>
              </w:tc>
            </w:tr>
            <w:tr w14:paraId="73CC9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7CD83028">
                  <w:pPr>
                    <w:pStyle w:val="15"/>
                  </w:pPr>
                </w:p>
              </w:tc>
              <w:tc>
                <w:tcPr>
                  <w:tcW w:w="574" w:type="pct"/>
                  <w:vMerge w:val="continue"/>
                  <w:vAlign w:val="center"/>
                </w:tcPr>
                <w:p w14:paraId="5F49A8E5">
                  <w:pPr>
                    <w:pStyle w:val="15"/>
                  </w:pPr>
                </w:p>
              </w:tc>
              <w:tc>
                <w:tcPr>
                  <w:tcW w:w="595" w:type="pct"/>
                  <w:vMerge w:val="continue"/>
                  <w:vAlign w:val="center"/>
                </w:tcPr>
                <w:p w14:paraId="24D9160C">
                  <w:pPr>
                    <w:pStyle w:val="15"/>
                  </w:pPr>
                </w:p>
              </w:tc>
              <w:tc>
                <w:tcPr>
                  <w:tcW w:w="503" w:type="pct"/>
                  <w:vMerge w:val="continue"/>
                  <w:vAlign w:val="center"/>
                </w:tcPr>
                <w:p w14:paraId="623A3795">
                  <w:pPr>
                    <w:pStyle w:val="15"/>
                  </w:pPr>
                </w:p>
              </w:tc>
              <w:tc>
                <w:tcPr>
                  <w:tcW w:w="321" w:type="pct"/>
                  <w:vAlign w:val="center"/>
                </w:tcPr>
                <w:p w14:paraId="3B9F1504">
                  <w:pPr>
                    <w:pStyle w:val="15"/>
                  </w:pPr>
                  <w:r>
                    <w:rPr>
                      <w:rFonts w:hint="eastAsia"/>
                    </w:rPr>
                    <w:t>北</w:t>
                  </w:r>
                </w:p>
              </w:tc>
              <w:tc>
                <w:tcPr>
                  <w:tcW w:w="419" w:type="pct"/>
                  <w:vAlign w:val="center"/>
                </w:tcPr>
                <w:p w14:paraId="4680E413">
                  <w:pPr>
                    <w:pStyle w:val="15"/>
                    <w:rPr>
                      <w:rFonts w:hint="eastAsia" w:eastAsia="宋体"/>
                      <w:lang w:val="en-US" w:eastAsia="zh-CN"/>
                    </w:rPr>
                  </w:pPr>
                  <w:r>
                    <w:rPr>
                      <w:rFonts w:hint="eastAsia"/>
                      <w:lang w:val="en-US" w:eastAsia="zh-CN"/>
                    </w:rPr>
                    <w:t>4</w:t>
                  </w:r>
                </w:p>
              </w:tc>
              <w:tc>
                <w:tcPr>
                  <w:tcW w:w="653" w:type="pct"/>
                  <w:vAlign w:val="center"/>
                </w:tcPr>
                <w:p w14:paraId="043558EE">
                  <w:pPr>
                    <w:pStyle w:val="15"/>
                    <w:rPr>
                      <w:rFonts w:hint="default" w:eastAsia="宋体"/>
                      <w:lang w:val="en-US" w:eastAsia="zh-CN"/>
                    </w:rPr>
                  </w:pPr>
                  <w:r>
                    <w:rPr>
                      <w:rFonts w:hint="eastAsia"/>
                      <w:lang w:val="en-US" w:eastAsia="zh-CN"/>
                    </w:rPr>
                    <w:t>62.9</w:t>
                  </w:r>
                </w:p>
              </w:tc>
              <w:tc>
                <w:tcPr>
                  <w:tcW w:w="325" w:type="pct"/>
                  <w:vMerge w:val="continue"/>
                  <w:vAlign w:val="center"/>
                </w:tcPr>
                <w:p w14:paraId="53722232">
                  <w:pPr>
                    <w:pStyle w:val="15"/>
                  </w:pPr>
                </w:p>
              </w:tc>
              <w:tc>
                <w:tcPr>
                  <w:tcW w:w="609" w:type="pct"/>
                  <w:vMerge w:val="continue"/>
                  <w:vAlign w:val="center"/>
                </w:tcPr>
                <w:p w14:paraId="0C9A29CD">
                  <w:pPr>
                    <w:pStyle w:val="15"/>
                  </w:pPr>
                </w:p>
              </w:tc>
              <w:tc>
                <w:tcPr>
                  <w:tcW w:w="653" w:type="pct"/>
                  <w:vAlign w:val="center"/>
                </w:tcPr>
                <w:p w14:paraId="061AD6F2">
                  <w:pPr>
                    <w:pStyle w:val="15"/>
                    <w:rPr>
                      <w:rFonts w:hint="default" w:eastAsia="宋体"/>
                      <w:lang w:val="en-US" w:eastAsia="zh-CN"/>
                    </w:rPr>
                  </w:pPr>
                  <w:r>
                    <w:rPr>
                      <w:rFonts w:hint="eastAsia"/>
                      <w:lang w:val="en-US" w:eastAsia="zh-CN"/>
                    </w:rPr>
                    <w:t>37.9</w:t>
                  </w:r>
                </w:p>
              </w:tc>
            </w:tr>
            <w:tr w14:paraId="3137D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344" w:type="pct"/>
                  <w:vMerge w:val="continue"/>
                  <w:vAlign w:val="center"/>
                </w:tcPr>
                <w:p w14:paraId="57F54692">
                  <w:pPr>
                    <w:pStyle w:val="15"/>
                  </w:pPr>
                </w:p>
              </w:tc>
              <w:tc>
                <w:tcPr>
                  <w:tcW w:w="574" w:type="pct"/>
                  <w:vMerge w:val="restart"/>
                  <w:vAlign w:val="center"/>
                </w:tcPr>
                <w:p w14:paraId="107790C6">
                  <w:pPr>
                    <w:pStyle w:val="15"/>
                  </w:pPr>
                  <w:r>
                    <w:rPr>
                      <w:rFonts w:hint="eastAsia"/>
                    </w:rPr>
                    <w:t>洗箱生产线</w:t>
                  </w:r>
                </w:p>
              </w:tc>
              <w:tc>
                <w:tcPr>
                  <w:tcW w:w="595" w:type="pct"/>
                  <w:vMerge w:val="restart"/>
                  <w:vAlign w:val="center"/>
                </w:tcPr>
                <w:p w14:paraId="463FF63F">
                  <w:pPr>
                    <w:pStyle w:val="15"/>
                  </w:pPr>
                  <w:r>
                    <w:rPr>
                      <w:rFonts w:hint="eastAsia"/>
                    </w:rPr>
                    <w:t>75</w:t>
                  </w:r>
                </w:p>
              </w:tc>
              <w:tc>
                <w:tcPr>
                  <w:tcW w:w="503" w:type="pct"/>
                  <w:vMerge w:val="continue"/>
                  <w:vAlign w:val="center"/>
                </w:tcPr>
                <w:p w14:paraId="0AF4A103">
                  <w:pPr>
                    <w:pStyle w:val="15"/>
                  </w:pPr>
                </w:p>
              </w:tc>
              <w:tc>
                <w:tcPr>
                  <w:tcW w:w="321" w:type="pct"/>
                  <w:shd w:val="clear" w:color="auto" w:fill="auto"/>
                  <w:vAlign w:val="center"/>
                </w:tcPr>
                <w:p w14:paraId="27986640">
                  <w:pPr>
                    <w:pStyle w:val="15"/>
                  </w:pPr>
                  <w:r>
                    <w:rPr>
                      <w:rFonts w:hint="eastAsia"/>
                    </w:rPr>
                    <w:t>东</w:t>
                  </w:r>
                </w:p>
              </w:tc>
              <w:tc>
                <w:tcPr>
                  <w:tcW w:w="419" w:type="pct"/>
                  <w:shd w:val="clear" w:color="auto" w:fill="auto"/>
                  <w:vAlign w:val="center"/>
                </w:tcPr>
                <w:p w14:paraId="59E73F10">
                  <w:pPr>
                    <w:pStyle w:val="15"/>
                    <w:rPr>
                      <w:rFonts w:hint="default" w:eastAsia="宋体"/>
                      <w:lang w:val="en-US" w:eastAsia="zh-CN"/>
                    </w:rPr>
                  </w:pPr>
                  <w:r>
                    <w:rPr>
                      <w:rFonts w:hint="eastAsia"/>
                      <w:lang w:val="en-US" w:eastAsia="zh-CN"/>
                    </w:rPr>
                    <w:t>23</w:t>
                  </w:r>
                </w:p>
              </w:tc>
              <w:tc>
                <w:tcPr>
                  <w:tcW w:w="653" w:type="pct"/>
                  <w:shd w:val="clear" w:color="auto" w:fill="auto"/>
                  <w:vAlign w:val="center"/>
                </w:tcPr>
                <w:p w14:paraId="5E740845">
                  <w:pPr>
                    <w:pStyle w:val="15"/>
                    <w:rPr>
                      <w:rFonts w:hint="default" w:eastAsia="宋体"/>
                      <w:lang w:val="en-US" w:eastAsia="zh-CN"/>
                    </w:rPr>
                  </w:pPr>
                  <w:r>
                    <w:rPr>
                      <w:rFonts w:hint="eastAsia"/>
                      <w:lang w:val="en-US" w:eastAsia="zh-CN"/>
                    </w:rPr>
                    <w:t>47.7</w:t>
                  </w:r>
                </w:p>
              </w:tc>
              <w:tc>
                <w:tcPr>
                  <w:tcW w:w="325" w:type="pct"/>
                  <w:vMerge w:val="continue"/>
                  <w:vAlign w:val="center"/>
                </w:tcPr>
                <w:p w14:paraId="2D2B72DF">
                  <w:pPr>
                    <w:pStyle w:val="15"/>
                  </w:pPr>
                </w:p>
              </w:tc>
              <w:tc>
                <w:tcPr>
                  <w:tcW w:w="609" w:type="pct"/>
                  <w:vMerge w:val="continue"/>
                  <w:vAlign w:val="center"/>
                </w:tcPr>
                <w:p w14:paraId="737D1AF4">
                  <w:pPr>
                    <w:pStyle w:val="15"/>
                  </w:pPr>
                </w:p>
              </w:tc>
              <w:tc>
                <w:tcPr>
                  <w:tcW w:w="653" w:type="pct"/>
                  <w:shd w:val="clear" w:color="auto" w:fill="auto"/>
                  <w:vAlign w:val="center"/>
                </w:tcPr>
                <w:p w14:paraId="7EDCF580">
                  <w:pPr>
                    <w:pStyle w:val="15"/>
                    <w:rPr>
                      <w:rFonts w:hint="default" w:eastAsia="宋体"/>
                      <w:lang w:val="en-US" w:eastAsia="zh-CN"/>
                    </w:rPr>
                  </w:pPr>
                  <w:r>
                    <w:rPr>
                      <w:rFonts w:hint="eastAsia"/>
                      <w:lang w:val="en-US" w:eastAsia="zh-CN"/>
                    </w:rPr>
                    <w:t>22.7</w:t>
                  </w:r>
                </w:p>
              </w:tc>
            </w:tr>
            <w:tr w14:paraId="01F7E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601DA501">
                  <w:pPr>
                    <w:pStyle w:val="15"/>
                  </w:pPr>
                </w:p>
              </w:tc>
              <w:tc>
                <w:tcPr>
                  <w:tcW w:w="574" w:type="pct"/>
                  <w:vMerge w:val="continue"/>
                  <w:vAlign w:val="center"/>
                </w:tcPr>
                <w:p w14:paraId="7E71654D">
                  <w:pPr>
                    <w:pStyle w:val="15"/>
                  </w:pPr>
                </w:p>
              </w:tc>
              <w:tc>
                <w:tcPr>
                  <w:tcW w:w="595" w:type="pct"/>
                  <w:vMerge w:val="continue"/>
                  <w:vAlign w:val="center"/>
                </w:tcPr>
                <w:p w14:paraId="44BBBA19">
                  <w:pPr>
                    <w:pStyle w:val="15"/>
                  </w:pPr>
                </w:p>
              </w:tc>
              <w:tc>
                <w:tcPr>
                  <w:tcW w:w="503" w:type="pct"/>
                  <w:vMerge w:val="continue"/>
                  <w:vAlign w:val="center"/>
                </w:tcPr>
                <w:p w14:paraId="6CC3D967">
                  <w:pPr>
                    <w:pStyle w:val="15"/>
                  </w:pPr>
                </w:p>
              </w:tc>
              <w:tc>
                <w:tcPr>
                  <w:tcW w:w="321" w:type="pct"/>
                  <w:vAlign w:val="center"/>
                </w:tcPr>
                <w:p w14:paraId="5E483CDE">
                  <w:pPr>
                    <w:pStyle w:val="15"/>
                  </w:pPr>
                  <w:r>
                    <w:rPr>
                      <w:rFonts w:hint="eastAsia"/>
                    </w:rPr>
                    <w:t>南</w:t>
                  </w:r>
                </w:p>
              </w:tc>
              <w:tc>
                <w:tcPr>
                  <w:tcW w:w="419" w:type="pct"/>
                  <w:vAlign w:val="center"/>
                </w:tcPr>
                <w:p w14:paraId="0472C0C9">
                  <w:pPr>
                    <w:pStyle w:val="15"/>
                    <w:rPr>
                      <w:rFonts w:hint="default" w:eastAsia="宋体"/>
                      <w:lang w:val="en-US" w:eastAsia="zh-CN"/>
                    </w:rPr>
                  </w:pPr>
                  <w:r>
                    <w:rPr>
                      <w:rFonts w:hint="eastAsia"/>
                      <w:lang w:val="en-US" w:eastAsia="zh-CN"/>
                    </w:rPr>
                    <w:t>20</w:t>
                  </w:r>
                </w:p>
              </w:tc>
              <w:tc>
                <w:tcPr>
                  <w:tcW w:w="653" w:type="pct"/>
                  <w:vAlign w:val="center"/>
                </w:tcPr>
                <w:p w14:paraId="2CF97AF5">
                  <w:pPr>
                    <w:pStyle w:val="15"/>
                    <w:rPr>
                      <w:rFonts w:hint="default" w:eastAsia="宋体"/>
                      <w:lang w:val="en-US" w:eastAsia="zh-CN"/>
                    </w:rPr>
                  </w:pPr>
                  <w:r>
                    <w:rPr>
                      <w:rFonts w:hint="eastAsia"/>
                      <w:lang w:val="en-US" w:eastAsia="zh-CN"/>
                    </w:rPr>
                    <w:t>48.9</w:t>
                  </w:r>
                </w:p>
              </w:tc>
              <w:tc>
                <w:tcPr>
                  <w:tcW w:w="325" w:type="pct"/>
                  <w:vMerge w:val="continue"/>
                  <w:vAlign w:val="center"/>
                </w:tcPr>
                <w:p w14:paraId="7E01C0A8">
                  <w:pPr>
                    <w:pStyle w:val="15"/>
                  </w:pPr>
                </w:p>
              </w:tc>
              <w:tc>
                <w:tcPr>
                  <w:tcW w:w="609" w:type="pct"/>
                  <w:vMerge w:val="continue"/>
                  <w:vAlign w:val="center"/>
                </w:tcPr>
                <w:p w14:paraId="5761BE8E">
                  <w:pPr>
                    <w:pStyle w:val="15"/>
                  </w:pPr>
                </w:p>
              </w:tc>
              <w:tc>
                <w:tcPr>
                  <w:tcW w:w="653" w:type="pct"/>
                  <w:vAlign w:val="center"/>
                </w:tcPr>
                <w:p w14:paraId="0A39C5FE">
                  <w:pPr>
                    <w:pStyle w:val="15"/>
                    <w:rPr>
                      <w:rFonts w:hint="default" w:eastAsia="宋体"/>
                      <w:lang w:val="en-US" w:eastAsia="zh-CN"/>
                    </w:rPr>
                  </w:pPr>
                  <w:r>
                    <w:rPr>
                      <w:rFonts w:hint="eastAsia"/>
                      <w:lang w:val="en-US" w:eastAsia="zh-CN"/>
                    </w:rPr>
                    <w:t>23.9</w:t>
                  </w:r>
                </w:p>
              </w:tc>
            </w:tr>
            <w:tr w14:paraId="15D55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39F8CB3F">
                  <w:pPr>
                    <w:pStyle w:val="15"/>
                  </w:pPr>
                </w:p>
              </w:tc>
              <w:tc>
                <w:tcPr>
                  <w:tcW w:w="574" w:type="pct"/>
                  <w:vMerge w:val="continue"/>
                  <w:vAlign w:val="center"/>
                </w:tcPr>
                <w:p w14:paraId="305A64E2">
                  <w:pPr>
                    <w:pStyle w:val="15"/>
                  </w:pPr>
                </w:p>
              </w:tc>
              <w:tc>
                <w:tcPr>
                  <w:tcW w:w="595" w:type="pct"/>
                  <w:vMerge w:val="continue"/>
                  <w:vAlign w:val="center"/>
                </w:tcPr>
                <w:p w14:paraId="3E01A6F8">
                  <w:pPr>
                    <w:pStyle w:val="15"/>
                  </w:pPr>
                </w:p>
              </w:tc>
              <w:tc>
                <w:tcPr>
                  <w:tcW w:w="503" w:type="pct"/>
                  <w:vMerge w:val="continue"/>
                  <w:vAlign w:val="center"/>
                </w:tcPr>
                <w:p w14:paraId="204F74A2">
                  <w:pPr>
                    <w:pStyle w:val="15"/>
                  </w:pPr>
                </w:p>
              </w:tc>
              <w:tc>
                <w:tcPr>
                  <w:tcW w:w="321" w:type="pct"/>
                  <w:vAlign w:val="center"/>
                </w:tcPr>
                <w:p w14:paraId="470F7720">
                  <w:pPr>
                    <w:pStyle w:val="15"/>
                  </w:pPr>
                  <w:r>
                    <w:rPr>
                      <w:rFonts w:hint="eastAsia"/>
                    </w:rPr>
                    <w:t>西</w:t>
                  </w:r>
                </w:p>
              </w:tc>
              <w:tc>
                <w:tcPr>
                  <w:tcW w:w="419" w:type="pct"/>
                  <w:vAlign w:val="center"/>
                </w:tcPr>
                <w:p w14:paraId="2B2344F2">
                  <w:pPr>
                    <w:pStyle w:val="15"/>
                    <w:rPr>
                      <w:rFonts w:hint="eastAsia" w:eastAsia="宋体"/>
                      <w:lang w:val="en-US" w:eastAsia="zh-CN"/>
                    </w:rPr>
                  </w:pPr>
                  <w:r>
                    <w:rPr>
                      <w:rFonts w:hint="eastAsia"/>
                      <w:lang w:val="en-US" w:eastAsia="zh-CN"/>
                    </w:rPr>
                    <w:t>7</w:t>
                  </w:r>
                </w:p>
              </w:tc>
              <w:tc>
                <w:tcPr>
                  <w:tcW w:w="653" w:type="pct"/>
                  <w:vAlign w:val="center"/>
                </w:tcPr>
                <w:p w14:paraId="22F54389">
                  <w:pPr>
                    <w:pStyle w:val="15"/>
                    <w:rPr>
                      <w:rFonts w:hint="default" w:eastAsia="宋体"/>
                      <w:lang w:val="en-US" w:eastAsia="zh-CN"/>
                    </w:rPr>
                  </w:pPr>
                  <w:r>
                    <w:rPr>
                      <w:rFonts w:hint="eastAsia"/>
                      <w:lang w:val="en-US" w:eastAsia="zh-CN"/>
                    </w:rPr>
                    <w:t>58.1</w:t>
                  </w:r>
                </w:p>
              </w:tc>
              <w:tc>
                <w:tcPr>
                  <w:tcW w:w="325" w:type="pct"/>
                  <w:vMerge w:val="continue"/>
                  <w:vAlign w:val="center"/>
                </w:tcPr>
                <w:p w14:paraId="56FBD596">
                  <w:pPr>
                    <w:pStyle w:val="15"/>
                  </w:pPr>
                </w:p>
              </w:tc>
              <w:tc>
                <w:tcPr>
                  <w:tcW w:w="609" w:type="pct"/>
                  <w:vMerge w:val="continue"/>
                  <w:vAlign w:val="center"/>
                </w:tcPr>
                <w:p w14:paraId="7061E8C0">
                  <w:pPr>
                    <w:pStyle w:val="15"/>
                  </w:pPr>
                </w:p>
              </w:tc>
              <w:tc>
                <w:tcPr>
                  <w:tcW w:w="653" w:type="pct"/>
                  <w:vAlign w:val="center"/>
                </w:tcPr>
                <w:p w14:paraId="27FFA0A5">
                  <w:pPr>
                    <w:pStyle w:val="15"/>
                    <w:rPr>
                      <w:rFonts w:hint="default" w:eastAsia="宋体"/>
                      <w:lang w:val="en-US" w:eastAsia="zh-CN"/>
                    </w:rPr>
                  </w:pPr>
                  <w:r>
                    <w:rPr>
                      <w:rFonts w:hint="eastAsia"/>
                      <w:lang w:val="en-US" w:eastAsia="zh-CN"/>
                    </w:rPr>
                    <w:t>33.1</w:t>
                  </w:r>
                </w:p>
              </w:tc>
            </w:tr>
            <w:tr w14:paraId="3DA20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49BE5E28">
                  <w:pPr>
                    <w:pStyle w:val="15"/>
                  </w:pPr>
                </w:p>
              </w:tc>
              <w:tc>
                <w:tcPr>
                  <w:tcW w:w="574" w:type="pct"/>
                  <w:vMerge w:val="continue"/>
                  <w:vAlign w:val="center"/>
                </w:tcPr>
                <w:p w14:paraId="12A3D3AB">
                  <w:pPr>
                    <w:pStyle w:val="15"/>
                  </w:pPr>
                </w:p>
              </w:tc>
              <w:tc>
                <w:tcPr>
                  <w:tcW w:w="595" w:type="pct"/>
                  <w:vMerge w:val="continue"/>
                  <w:vAlign w:val="center"/>
                </w:tcPr>
                <w:p w14:paraId="76A844EE">
                  <w:pPr>
                    <w:pStyle w:val="15"/>
                  </w:pPr>
                </w:p>
              </w:tc>
              <w:tc>
                <w:tcPr>
                  <w:tcW w:w="503" w:type="pct"/>
                  <w:vMerge w:val="continue"/>
                  <w:vAlign w:val="center"/>
                </w:tcPr>
                <w:p w14:paraId="35114A22">
                  <w:pPr>
                    <w:pStyle w:val="15"/>
                  </w:pPr>
                </w:p>
              </w:tc>
              <w:tc>
                <w:tcPr>
                  <w:tcW w:w="321" w:type="pct"/>
                  <w:vAlign w:val="center"/>
                </w:tcPr>
                <w:p w14:paraId="61598710">
                  <w:pPr>
                    <w:pStyle w:val="15"/>
                  </w:pPr>
                  <w:r>
                    <w:rPr>
                      <w:rFonts w:hint="eastAsia"/>
                    </w:rPr>
                    <w:t>北</w:t>
                  </w:r>
                </w:p>
              </w:tc>
              <w:tc>
                <w:tcPr>
                  <w:tcW w:w="419" w:type="pct"/>
                  <w:vAlign w:val="center"/>
                </w:tcPr>
                <w:p w14:paraId="2599845A">
                  <w:pPr>
                    <w:pStyle w:val="15"/>
                    <w:rPr>
                      <w:rFonts w:hint="default" w:eastAsia="宋体"/>
                      <w:lang w:val="en-US" w:eastAsia="zh-CN"/>
                    </w:rPr>
                  </w:pPr>
                  <w:r>
                    <w:rPr>
                      <w:rFonts w:hint="eastAsia"/>
                      <w:lang w:val="en-US" w:eastAsia="zh-CN"/>
                    </w:rPr>
                    <w:t>12</w:t>
                  </w:r>
                </w:p>
              </w:tc>
              <w:tc>
                <w:tcPr>
                  <w:tcW w:w="653" w:type="pct"/>
                  <w:vAlign w:val="center"/>
                </w:tcPr>
                <w:p w14:paraId="7D7C00A5">
                  <w:pPr>
                    <w:pStyle w:val="15"/>
                    <w:rPr>
                      <w:rFonts w:hint="default" w:eastAsia="宋体"/>
                      <w:lang w:val="en-US" w:eastAsia="zh-CN"/>
                    </w:rPr>
                  </w:pPr>
                  <w:r>
                    <w:rPr>
                      <w:rFonts w:hint="eastAsia"/>
                      <w:lang w:val="en-US" w:eastAsia="zh-CN"/>
                    </w:rPr>
                    <w:t>53.4</w:t>
                  </w:r>
                </w:p>
              </w:tc>
              <w:tc>
                <w:tcPr>
                  <w:tcW w:w="325" w:type="pct"/>
                  <w:vMerge w:val="continue"/>
                  <w:vAlign w:val="center"/>
                </w:tcPr>
                <w:p w14:paraId="15DD333C">
                  <w:pPr>
                    <w:pStyle w:val="15"/>
                  </w:pPr>
                </w:p>
              </w:tc>
              <w:tc>
                <w:tcPr>
                  <w:tcW w:w="609" w:type="pct"/>
                  <w:vMerge w:val="continue"/>
                  <w:vAlign w:val="center"/>
                </w:tcPr>
                <w:p w14:paraId="1AA7F880">
                  <w:pPr>
                    <w:pStyle w:val="15"/>
                  </w:pPr>
                </w:p>
              </w:tc>
              <w:tc>
                <w:tcPr>
                  <w:tcW w:w="653" w:type="pct"/>
                  <w:vAlign w:val="center"/>
                </w:tcPr>
                <w:p w14:paraId="1F96285A">
                  <w:pPr>
                    <w:pStyle w:val="15"/>
                    <w:rPr>
                      <w:rFonts w:hint="default" w:eastAsia="宋体"/>
                      <w:lang w:val="en-US" w:eastAsia="zh-CN"/>
                    </w:rPr>
                  </w:pPr>
                  <w:r>
                    <w:rPr>
                      <w:rFonts w:hint="eastAsia"/>
                      <w:lang w:val="en-US" w:eastAsia="zh-CN"/>
                    </w:rPr>
                    <w:t>28.4</w:t>
                  </w:r>
                </w:p>
              </w:tc>
            </w:tr>
            <w:tr w14:paraId="2536E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3621D938">
                  <w:pPr>
                    <w:pStyle w:val="15"/>
                  </w:pPr>
                </w:p>
              </w:tc>
              <w:tc>
                <w:tcPr>
                  <w:tcW w:w="574" w:type="pct"/>
                  <w:vMerge w:val="restart"/>
                  <w:vAlign w:val="center"/>
                </w:tcPr>
                <w:p w14:paraId="2FE38D58">
                  <w:pPr>
                    <w:pStyle w:val="15"/>
                  </w:pPr>
                  <w:r>
                    <w:rPr>
                      <w:rFonts w:hint="eastAsia"/>
                    </w:rPr>
                    <w:t>包装机</w:t>
                  </w:r>
                </w:p>
              </w:tc>
              <w:tc>
                <w:tcPr>
                  <w:tcW w:w="595" w:type="pct"/>
                  <w:vMerge w:val="restart"/>
                  <w:vAlign w:val="center"/>
                </w:tcPr>
                <w:p w14:paraId="03CCAFD9">
                  <w:pPr>
                    <w:pStyle w:val="15"/>
                  </w:pPr>
                  <w:r>
                    <w:rPr>
                      <w:rFonts w:hint="eastAsia"/>
                    </w:rPr>
                    <w:t>75</w:t>
                  </w:r>
                </w:p>
              </w:tc>
              <w:tc>
                <w:tcPr>
                  <w:tcW w:w="503" w:type="pct"/>
                  <w:vMerge w:val="continue"/>
                  <w:vAlign w:val="center"/>
                </w:tcPr>
                <w:p w14:paraId="36A14B17">
                  <w:pPr>
                    <w:pStyle w:val="15"/>
                  </w:pPr>
                </w:p>
              </w:tc>
              <w:tc>
                <w:tcPr>
                  <w:tcW w:w="321" w:type="pct"/>
                  <w:vAlign w:val="center"/>
                </w:tcPr>
                <w:p w14:paraId="5A852C30">
                  <w:pPr>
                    <w:pStyle w:val="15"/>
                  </w:pPr>
                  <w:r>
                    <w:rPr>
                      <w:rFonts w:hint="eastAsia"/>
                    </w:rPr>
                    <w:t>东</w:t>
                  </w:r>
                </w:p>
              </w:tc>
              <w:tc>
                <w:tcPr>
                  <w:tcW w:w="419" w:type="pct"/>
                  <w:vAlign w:val="center"/>
                </w:tcPr>
                <w:p w14:paraId="6EE2BE89">
                  <w:pPr>
                    <w:pStyle w:val="15"/>
                    <w:rPr>
                      <w:rFonts w:hint="default" w:eastAsia="宋体"/>
                      <w:lang w:val="en-US" w:eastAsia="zh-CN"/>
                    </w:rPr>
                  </w:pPr>
                  <w:r>
                    <w:rPr>
                      <w:rFonts w:hint="eastAsia"/>
                      <w:lang w:val="en-US" w:eastAsia="zh-CN"/>
                    </w:rPr>
                    <w:t>13</w:t>
                  </w:r>
                </w:p>
              </w:tc>
              <w:tc>
                <w:tcPr>
                  <w:tcW w:w="653" w:type="pct"/>
                  <w:vAlign w:val="center"/>
                </w:tcPr>
                <w:p w14:paraId="7CF936EA">
                  <w:pPr>
                    <w:pStyle w:val="15"/>
                    <w:rPr>
                      <w:rFonts w:hint="default" w:eastAsia="宋体"/>
                      <w:lang w:val="en-US" w:eastAsia="zh-CN"/>
                    </w:rPr>
                  </w:pPr>
                  <w:r>
                    <w:rPr>
                      <w:rFonts w:hint="eastAsia"/>
                      <w:lang w:val="en-US" w:eastAsia="zh-CN"/>
                    </w:rPr>
                    <w:t>52.7</w:t>
                  </w:r>
                </w:p>
              </w:tc>
              <w:tc>
                <w:tcPr>
                  <w:tcW w:w="325" w:type="pct"/>
                  <w:vMerge w:val="continue"/>
                  <w:vAlign w:val="center"/>
                </w:tcPr>
                <w:p w14:paraId="20407090">
                  <w:pPr>
                    <w:pStyle w:val="15"/>
                  </w:pPr>
                </w:p>
              </w:tc>
              <w:tc>
                <w:tcPr>
                  <w:tcW w:w="609" w:type="pct"/>
                  <w:vMerge w:val="continue"/>
                  <w:vAlign w:val="center"/>
                </w:tcPr>
                <w:p w14:paraId="7F92D0F6">
                  <w:pPr>
                    <w:pStyle w:val="15"/>
                  </w:pPr>
                </w:p>
              </w:tc>
              <w:tc>
                <w:tcPr>
                  <w:tcW w:w="653" w:type="pct"/>
                  <w:vAlign w:val="center"/>
                </w:tcPr>
                <w:p w14:paraId="015442BC">
                  <w:pPr>
                    <w:pStyle w:val="15"/>
                    <w:rPr>
                      <w:rFonts w:hint="default" w:eastAsia="宋体"/>
                      <w:lang w:val="en-US" w:eastAsia="zh-CN"/>
                    </w:rPr>
                  </w:pPr>
                  <w:r>
                    <w:rPr>
                      <w:rFonts w:hint="eastAsia"/>
                      <w:lang w:val="en-US" w:eastAsia="zh-CN"/>
                    </w:rPr>
                    <w:t>27.7</w:t>
                  </w:r>
                </w:p>
              </w:tc>
            </w:tr>
            <w:tr w14:paraId="64474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2E9A1845">
                  <w:pPr>
                    <w:pStyle w:val="15"/>
                  </w:pPr>
                </w:p>
              </w:tc>
              <w:tc>
                <w:tcPr>
                  <w:tcW w:w="574" w:type="pct"/>
                  <w:vMerge w:val="continue"/>
                  <w:vAlign w:val="center"/>
                </w:tcPr>
                <w:p w14:paraId="30687E99">
                  <w:pPr>
                    <w:pStyle w:val="15"/>
                  </w:pPr>
                </w:p>
              </w:tc>
              <w:tc>
                <w:tcPr>
                  <w:tcW w:w="595" w:type="pct"/>
                  <w:vMerge w:val="continue"/>
                  <w:vAlign w:val="center"/>
                </w:tcPr>
                <w:p w14:paraId="6F5E5772">
                  <w:pPr>
                    <w:pStyle w:val="15"/>
                  </w:pPr>
                </w:p>
              </w:tc>
              <w:tc>
                <w:tcPr>
                  <w:tcW w:w="503" w:type="pct"/>
                  <w:vMerge w:val="continue"/>
                  <w:vAlign w:val="center"/>
                </w:tcPr>
                <w:p w14:paraId="6D748C50">
                  <w:pPr>
                    <w:pStyle w:val="15"/>
                  </w:pPr>
                </w:p>
              </w:tc>
              <w:tc>
                <w:tcPr>
                  <w:tcW w:w="321" w:type="pct"/>
                  <w:vAlign w:val="center"/>
                </w:tcPr>
                <w:p w14:paraId="758056D9">
                  <w:pPr>
                    <w:pStyle w:val="15"/>
                  </w:pPr>
                  <w:r>
                    <w:rPr>
                      <w:rFonts w:hint="eastAsia"/>
                    </w:rPr>
                    <w:t>南</w:t>
                  </w:r>
                </w:p>
              </w:tc>
              <w:tc>
                <w:tcPr>
                  <w:tcW w:w="419" w:type="pct"/>
                  <w:vAlign w:val="center"/>
                </w:tcPr>
                <w:p w14:paraId="3F05518C">
                  <w:pPr>
                    <w:pStyle w:val="15"/>
                    <w:rPr>
                      <w:rFonts w:hint="default" w:eastAsia="宋体"/>
                      <w:lang w:val="en-US" w:eastAsia="zh-CN"/>
                    </w:rPr>
                  </w:pPr>
                  <w:r>
                    <w:rPr>
                      <w:rFonts w:hint="eastAsia"/>
                      <w:lang w:val="en-US" w:eastAsia="zh-CN"/>
                    </w:rPr>
                    <w:t>20</w:t>
                  </w:r>
                </w:p>
              </w:tc>
              <w:tc>
                <w:tcPr>
                  <w:tcW w:w="653" w:type="pct"/>
                  <w:vAlign w:val="center"/>
                </w:tcPr>
                <w:p w14:paraId="5B2DCBE0">
                  <w:pPr>
                    <w:pStyle w:val="15"/>
                    <w:rPr>
                      <w:rFonts w:hint="default" w:eastAsia="宋体"/>
                      <w:lang w:val="en-US" w:eastAsia="zh-CN"/>
                    </w:rPr>
                  </w:pPr>
                  <w:r>
                    <w:rPr>
                      <w:rFonts w:hint="eastAsia"/>
                      <w:lang w:val="en-US" w:eastAsia="zh-CN"/>
                    </w:rPr>
                    <w:t>48.9</w:t>
                  </w:r>
                </w:p>
              </w:tc>
              <w:tc>
                <w:tcPr>
                  <w:tcW w:w="325" w:type="pct"/>
                  <w:vMerge w:val="continue"/>
                  <w:vAlign w:val="center"/>
                </w:tcPr>
                <w:p w14:paraId="5ABF23C7">
                  <w:pPr>
                    <w:pStyle w:val="15"/>
                  </w:pPr>
                </w:p>
              </w:tc>
              <w:tc>
                <w:tcPr>
                  <w:tcW w:w="609" w:type="pct"/>
                  <w:vMerge w:val="continue"/>
                  <w:vAlign w:val="center"/>
                </w:tcPr>
                <w:p w14:paraId="5353F64D">
                  <w:pPr>
                    <w:pStyle w:val="15"/>
                  </w:pPr>
                </w:p>
              </w:tc>
              <w:tc>
                <w:tcPr>
                  <w:tcW w:w="653" w:type="pct"/>
                  <w:vAlign w:val="center"/>
                </w:tcPr>
                <w:p w14:paraId="15F03AC0">
                  <w:pPr>
                    <w:pStyle w:val="15"/>
                    <w:rPr>
                      <w:rFonts w:hint="default" w:eastAsia="宋体"/>
                      <w:lang w:val="en-US" w:eastAsia="zh-CN"/>
                    </w:rPr>
                  </w:pPr>
                  <w:r>
                    <w:rPr>
                      <w:rFonts w:hint="eastAsia"/>
                      <w:lang w:val="en-US" w:eastAsia="zh-CN"/>
                    </w:rPr>
                    <w:t>23.9</w:t>
                  </w:r>
                </w:p>
              </w:tc>
            </w:tr>
            <w:tr w14:paraId="0B1D8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413D8CC1">
                  <w:pPr>
                    <w:pStyle w:val="15"/>
                  </w:pPr>
                </w:p>
              </w:tc>
              <w:tc>
                <w:tcPr>
                  <w:tcW w:w="574" w:type="pct"/>
                  <w:vMerge w:val="continue"/>
                  <w:vAlign w:val="center"/>
                </w:tcPr>
                <w:p w14:paraId="0C190AF4">
                  <w:pPr>
                    <w:pStyle w:val="15"/>
                  </w:pPr>
                </w:p>
              </w:tc>
              <w:tc>
                <w:tcPr>
                  <w:tcW w:w="595" w:type="pct"/>
                  <w:vMerge w:val="continue"/>
                  <w:vAlign w:val="center"/>
                </w:tcPr>
                <w:p w14:paraId="6B7E34FA">
                  <w:pPr>
                    <w:pStyle w:val="15"/>
                  </w:pPr>
                </w:p>
              </w:tc>
              <w:tc>
                <w:tcPr>
                  <w:tcW w:w="503" w:type="pct"/>
                  <w:vMerge w:val="continue"/>
                  <w:vAlign w:val="center"/>
                </w:tcPr>
                <w:p w14:paraId="02425C8E">
                  <w:pPr>
                    <w:pStyle w:val="15"/>
                  </w:pPr>
                </w:p>
              </w:tc>
              <w:tc>
                <w:tcPr>
                  <w:tcW w:w="321" w:type="pct"/>
                  <w:vAlign w:val="center"/>
                </w:tcPr>
                <w:p w14:paraId="049F09A5">
                  <w:pPr>
                    <w:pStyle w:val="15"/>
                  </w:pPr>
                  <w:r>
                    <w:rPr>
                      <w:rFonts w:hint="eastAsia"/>
                    </w:rPr>
                    <w:t>西</w:t>
                  </w:r>
                </w:p>
              </w:tc>
              <w:tc>
                <w:tcPr>
                  <w:tcW w:w="419" w:type="pct"/>
                  <w:vAlign w:val="center"/>
                </w:tcPr>
                <w:p w14:paraId="4480E63F">
                  <w:pPr>
                    <w:pStyle w:val="15"/>
                    <w:rPr>
                      <w:rFonts w:hint="eastAsia" w:eastAsia="宋体"/>
                      <w:lang w:val="en-US" w:eastAsia="zh-CN"/>
                    </w:rPr>
                  </w:pPr>
                  <w:r>
                    <w:rPr>
                      <w:rFonts w:hint="eastAsia"/>
                      <w:lang w:val="en-US" w:eastAsia="zh-CN"/>
                    </w:rPr>
                    <w:t>7</w:t>
                  </w:r>
                </w:p>
              </w:tc>
              <w:tc>
                <w:tcPr>
                  <w:tcW w:w="653" w:type="pct"/>
                  <w:vAlign w:val="center"/>
                </w:tcPr>
                <w:p w14:paraId="0F88AB14">
                  <w:pPr>
                    <w:pStyle w:val="15"/>
                    <w:rPr>
                      <w:rFonts w:hint="default" w:eastAsia="宋体"/>
                      <w:lang w:val="en-US" w:eastAsia="zh-CN"/>
                    </w:rPr>
                  </w:pPr>
                  <w:r>
                    <w:rPr>
                      <w:rFonts w:hint="eastAsia"/>
                      <w:lang w:val="en-US" w:eastAsia="zh-CN"/>
                    </w:rPr>
                    <w:t>58.1</w:t>
                  </w:r>
                </w:p>
              </w:tc>
              <w:tc>
                <w:tcPr>
                  <w:tcW w:w="325" w:type="pct"/>
                  <w:vMerge w:val="continue"/>
                  <w:vAlign w:val="center"/>
                </w:tcPr>
                <w:p w14:paraId="7951AAF2">
                  <w:pPr>
                    <w:pStyle w:val="15"/>
                  </w:pPr>
                </w:p>
              </w:tc>
              <w:tc>
                <w:tcPr>
                  <w:tcW w:w="609" w:type="pct"/>
                  <w:vMerge w:val="continue"/>
                  <w:vAlign w:val="center"/>
                </w:tcPr>
                <w:p w14:paraId="47D8C5CC">
                  <w:pPr>
                    <w:pStyle w:val="15"/>
                  </w:pPr>
                </w:p>
              </w:tc>
              <w:tc>
                <w:tcPr>
                  <w:tcW w:w="653" w:type="pct"/>
                  <w:vAlign w:val="center"/>
                </w:tcPr>
                <w:p w14:paraId="51CCDA78">
                  <w:pPr>
                    <w:pStyle w:val="15"/>
                    <w:rPr>
                      <w:rFonts w:hint="default" w:eastAsia="宋体"/>
                      <w:lang w:val="en-US" w:eastAsia="zh-CN"/>
                    </w:rPr>
                  </w:pPr>
                  <w:r>
                    <w:rPr>
                      <w:rFonts w:hint="eastAsia"/>
                      <w:lang w:val="en-US" w:eastAsia="zh-CN"/>
                    </w:rPr>
                    <w:t>33.1</w:t>
                  </w:r>
                </w:p>
              </w:tc>
            </w:tr>
            <w:tr w14:paraId="7EC48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37478DDD">
                  <w:pPr>
                    <w:pStyle w:val="15"/>
                  </w:pPr>
                </w:p>
              </w:tc>
              <w:tc>
                <w:tcPr>
                  <w:tcW w:w="574" w:type="pct"/>
                  <w:vMerge w:val="continue"/>
                  <w:vAlign w:val="center"/>
                </w:tcPr>
                <w:p w14:paraId="433BA8C8">
                  <w:pPr>
                    <w:pStyle w:val="15"/>
                  </w:pPr>
                </w:p>
              </w:tc>
              <w:tc>
                <w:tcPr>
                  <w:tcW w:w="595" w:type="pct"/>
                  <w:vMerge w:val="continue"/>
                  <w:vAlign w:val="center"/>
                </w:tcPr>
                <w:p w14:paraId="20498058">
                  <w:pPr>
                    <w:pStyle w:val="15"/>
                  </w:pPr>
                </w:p>
              </w:tc>
              <w:tc>
                <w:tcPr>
                  <w:tcW w:w="503" w:type="pct"/>
                  <w:vMerge w:val="continue"/>
                  <w:vAlign w:val="center"/>
                </w:tcPr>
                <w:p w14:paraId="3191DBBE">
                  <w:pPr>
                    <w:pStyle w:val="15"/>
                  </w:pPr>
                </w:p>
              </w:tc>
              <w:tc>
                <w:tcPr>
                  <w:tcW w:w="321" w:type="pct"/>
                  <w:vAlign w:val="center"/>
                </w:tcPr>
                <w:p w14:paraId="335C80F9">
                  <w:pPr>
                    <w:pStyle w:val="15"/>
                  </w:pPr>
                  <w:r>
                    <w:rPr>
                      <w:rFonts w:hint="eastAsia"/>
                    </w:rPr>
                    <w:t>北</w:t>
                  </w:r>
                </w:p>
              </w:tc>
              <w:tc>
                <w:tcPr>
                  <w:tcW w:w="419" w:type="pct"/>
                  <w:vAlign w:val="center"/>
                </w:tcPr>
                <w:p w14:paraId="6A7ACDBB">
                  <w:pPr>
                    <w:pStyle w:val="15"/>
                    <w:rPr>
                      <w:rFonts w:hint="default" w:eastAsia="宋体"/>
                      <w:lang w:val="en-US" w:eastAsia="zh-CN"/>
                    </w:rPr>
                  </w:pPr>
                  <w:r>
                    <w:rPr>
                      <w:rFonts w:hint="eastAsia"/>
                      <w:lang w:val="en-US" w:eastAsia="zh-CN"/>
                    </w:rPr>
                    <w:t>45</w:t>
                  </w:r>
                </w:p>
              </w:tc>
              <w:tc>
                <w:tcPr>
                  <w:tcW w:w="653" w:type="pct"/>
                  <w:vAlign w:val="center"/>
                </w:tcPr>
                <w:p w14:paraId="42CFF25C">
                  <w:pPr>
                    <w:pStyle w:val="15"/>
                    <w:rPr>
                      <w:rFonts w:hint="default" w:eastAsia="宋体"/>
                      <w:lang w:val="en-US" w:eastAsia="zh-CN"/>
                    </w:rPr>
                  </w:pPr>
                  <w:r>
                    <w:rPr>
                      <w:rFonts w:hint="eastAsia"/>
                      <w:lang w:val="en-US" w:eastAsia="zh-CN"/>
                    </w:rPr>
                    <w:t>41.9</w:t>
                  </w:r>
                </w:p>
              </w:tc>
              <w:tc>
                <w:tcPr>
                  <w:tcW w:w="325" w:type="pct"/>
                  <w:vMerge w:val="continue"/>
                  <w:vAlign w:val="center"/>
                </w:tcPr>
                <w:p w14:paraId="5D828E1C">
                  <w:pPr>
                    <w:pStyle w:val="15"/>
                  </w:pPr>
                </w:p>
              </w:tc>
              <w:tc>
                <w:tcPr>
                  <w:tcW w:w="609" w:type="pct"/>
                  <w:vMerge w:val="continue"/>
                  <w:vAlign w:val="center"/>
                </w:tcPr>
                <w:p w14:paraId="0B40FFC6">
                  <w:pPr>
                    <w:pStyle w:val="15"/>
                  </w:pPr>
                </w:p>
              </w:tc>
              <w:tc>
                <w:tcPr>
                  <w:tcW w:w="653" w:type="pct"/>
                  <w:vAlign w:val="center"/>
                </w:tcPr>
                <w:p w14:paraId="3E7344E5">
                  <w:pPr>
                    <w:pStyle w:val="15"/>
                    <w:rPr>
                      <w:rFonts w:hint="default" w:eastAsia="宋体"/>
                      <w:lang w:val="en-US" w:eastAsia="zh-CN"/>
                    </w:rPr>
                  </w:pPr>
                  <w:r>
                    <w:rPr>
                      <w:rFonts w:hint="eastAsia"/>
                      <w:lang w:val="en-US" w:eastAsia="zh-CN"/>
                    </w:rPr>
                    <w:t>16.9</w:t>
                  </w:r>
                </w:p>
              </w:tc>
            </w:tr>
            <w:tr w14:paraId="7A47F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0F9C7353">
                  <w:pPr>
                    <w:pStyle w:val="15"/>
                  </w:pPr>
                </w:p>
              </w:tc>
              <w:tc>
                <w:tcPr>
                  <w:tcW w:w="574" w:type="pct"/>
                  <w:vMerge w:val="restart"/>
                  <w:vAlign w:val="center"/>
                </w:tcPr>
                <w:p w14:paraId="4E2CDA4B">
                  <w:pPr>
                    <w:pStyle w:val="15"/>
                  </w:pPr>
                  <w:r>
                    <w:rPr>
                      <w:rFonts w:hint="eastAsia"/>
                    </w:rPr>
                    <w:t>生物质锅炉</w:t>
                  </w:r>
                </w:p>
              </w:tc>
              <w:tc>
                <w:tcPr>
                  <w:tcW w:w="595" w:type="pct"/>
                  <w:vMerge w:val="restart"/>
                  <w:vAlign w:val="center"/>
                </w:tcPr>
                <w:p w14:paraId="4BB36298">
                  <w:pPr>
                    <w:pStyle w:val="15"/>
                  </w:pPr>
                  <w:r>
                    <w:rPr>
                      <w:rFonts w:hint="eastAsia"/>
                    </w:rPr>
                    <w:t>80</w:t>
                  </w:r>
                </w:p>
              </w:tc>
              <w:tc>
                <w:tcPr>
                  <w:tcW w:w="503" w:type="pct"/>
                  <w:vMerge w:val="continue"/>
                  <w:vAlign w:val="center"/>
                </w:tcPr>
                <w:p w14:paraId="14C87E94">
                  <w:pPr>
                    <w:pStyle w:val="15"/>
                  </w:pPr>
                </w:p>
              </w:tc>
              <w:tc>
                <w:tcPr>
                  <w:tcW w:w="321" w:type="pct"/>
                  <w:vAlign w:val="center"/>
                </w:tcPr>
                <w:p w14:paraId="50D651C8">
                  <w:pPr>
                    <w:pStyle w:val="15"/>
                  </w:pPr>
                  <w:r>
                    <w:rPr>
                      <w:rFonts w:hint="eastAsia"/>
                    </w:rPr>
                    <w:t>东</w:t>
                  </w:r>
                </w:p>
              </w:tc>
              <w:tc>
                <w:tcPr>
                  <w:tcW w:w="419" w:type="pct"/>
                  <w:vAlign w:val="center"/>
                </w:tcPr>
                <w:p w14:paraId="194C28ED">
                  <w:pPr>
                    <w:pStyle w:val="15"/>
                    <w:rPr>
                      <w:rFonts w:hint="eastAsia" w:eastAsia="宋体"/>
                      <w:lang w:val="en-US" w:eastAsia="zh-CN"/>
                    </w:rPr>
                  </w:pPr>
                  <w:r>
                    <w:rPr>
                      <w:rFonts w:hint="eastAsia"/>
                      <w:lang w:val="en-US" w:eastAsia="zh-CN"/>
                    </w:rPr>
                    <w:t>8</w:t>
                  </w:r>
                </w:p>
              </w:tc>
              <w:tc>
                <w:tcPr>
                  <w:tcW w:w="653" w:type="pct"/>
                  <w:vAlign w:val="center"/>
                </w:tcPr>
                <w:p w14:paraId="7F30DED3">
                  <w:pPr>
                    <w:pStyle w:val="15"/>
                    <w:rPr>
                      <w:rFonts w:hint="default" w:eastAsia="宋体"/>
                      <w:lang w:val="en-US" w:eastAsia="zh-CN"/>
                    </w:rPr>
                  </w:pPr>
                  <w:r>
                    <w:rPr>
                      <w:rFonts w:hint="eastAsia"/>
                      <w:lang w:val="en-US" w:eastAsia="zh-CN"/>
                    </w:rPr>
                    <w:t>61.9</w:t>
                  </w:r>
                </w:p>
              </w:tc>
              <w:tc>
                <w:tcPr>
                  <w:tcW w:w="325" w:type="pct"/>
                  <w:vMerge w:val="continue"/>
                  <w:vAlign w:val="center"/>
                </w:tcPr>
                <w:p w14:paraId="2C97F275">
                  <w:pPr>
                    <w:pStyle w:val="15"/>
                  </w:pPr>
                </w:p>
              </w:tc>
              <w:tc>
                <w:tcPr>
                  <w:tcW w:w="609" w:type="pct"/>
                  <w:vMerge w:val="continue"/>
                  <w:vAlign w:val="center"/>
                </w:tcPr>
                <w:p w14:paraId="199F9CC9">
                  <w:pPr>
                    <w:pStyle w:val="15"/>
                  </w:pPr>
                </w:p>
              </w:tc>
              <w:tc>
                <w:tcPr>
                  <w:tcW w:w="653" w:type="pct"/>
                  <w:vAlign w:val="center"/>
                </w:tcPr>
                <w:p w14:paraId="565981F1">
                  <w:pPr>
                    <w:pStyle w:val="15"/>
                    <w:rPr>
                      <w:rFonts w:hint="default" w:eastAsia="宋体"/>
                      <w:lang w:val="en-US" w:eastAsia="zh-CN"/>
                    </w:rPr>
                  </w:pPr>
                  <w:r>
                    <w:rPr>
                      <w:rFonts w:hint="eastAsia"/>
                      <w:lang w:val="en-US" w:eastAsia="zh-CN"/>
                    </w:rPr>
                    <w:t>36.9</w:t>
                  </w:r>
                </w:p>
              </w:tc>
            </w:tr>
            <w:tr w14:paraId="7F43B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6B56DF20">
                  <w:pPr>
                    <w:pStyle w:val="15"/>
                  </w:pPr>
                </w:p>
              </w:tc>
              <w:tc>
                <w:tcPr>
                  <w:tcW w:w="574" w:type="pct"/>
                  <w:vMerge w:val="continue"/>
                  <w:vAlign w:val="center"/>
                </w:tcPr>
                <w:p w14:paraId="5785DE5F">
                  <w:pPr>
                    <w:pStyle w:val="15"/>
                  </w:pPr>
                </w:p>
              </w:tc>
              <w:tc>
                <w:tcPr>
                  <w:tcW w:w="595" w:type="pct"/>
                  <w:vMerge w:val="continue"/>
                  <w:vAlign w:val="center"/>
                </w:tcPr>
                <w:p w14:paraId="62DF7FF3">
                  <w:pPr>
                    <w:pStyle w:val="15"/>
                  </w:pPr>
                </w:p>
              </w:tc>
              <w:tc>
                <w:tcPr>
                  <w:tcW w:w="503" w:type="pct"/>
                  <w:vMerge w:val="continue"/>
                  <w:vAlign w:val="center"/>
                </w:tcPr>
                <w:p w14:paraId="2F7B4865">
                  <w:pPr>
                    <w:pStyle w:val="15"/>
                  </w:pPr>
                </w:p>
              </w:tc>
              <w:tc>
                <w:tcPr>
                  <w:tcW w:w="321" w:type="pct"/>
                  <w:vAlign w:val="center"/>
                </w:tcPr>
                <w:p w14:paraId="25CE9D78">
                  <w:pPr>
                    <w:pStyle w:val="15"/>
                  </w:pPr>
                  <w:r>
                    <w:rPr>
                      <w:rFonts w:hint="eastAsia"/>
                    </w:rPr>
                    <w:t>南</w:t>
                  </w:r>
                </w:p>
              </w:tc>
              <w:tc>
                <w:tcPr>
                  <w:tcW w:w="419" w:type="pct"/>
                  <w:vAlign w:val="center"/>
                </w:tcPr>
                <w:p w14:paraId="05D9050F">
                  <w:pPr>
                    <w:pStyle w:val="15"/>
                    <w:rPr>
                      <w:rFonts w:hint="default" w:eastAsia="宋体"/>
                      <w:lang w:val="en-US" w:eastAsia="zh-CN"/>
                    </w:rPr>
                  </w:pPr>
                  <w:r>
                    <w:rPr>
                      <w:rFonts w:hint="eastAsia"/>
                      <w:lang w:val="en-US" w:eastAsia="zh-CN"/>
                    </w:rPr>
                    <w:t>28</w:t>
                  </w:r>
                </w:p>
              </w:tc>
              <w:tc>
                <w:tcPr>
                  <w:tcW w:w="653" w:type="pct"/>
                  <w:vAlign w:val="center"/>
                </w:tcPr>
                <w:p w14:paraId="319FC5F8">
                  <w:pPr>
                    <w:pStyle w:val="15"/>
                    <w:rPr>
                      <w:rFonts w:hint="default" w:eastAsia="宋体"/>
                      <w:lang w:val="en-US" w:eastAsia="zh-CN"/>
                    </w:rPr>
                  </w:pPr>
                  <w:r>
                    <w:rPr>
                      <w:rFonts w:hint="eastAsia"/>
                      <w:lang w:val="en-US" w:eastAsia="zh-CN"/>
                    </w:rPr>
                    <w:t>51.1</w:t>
                  </w:r>
                </w:p>
              </w:tc>
              <w:tc>
                <w:tcPr>
                  <w:tcW w:w="325" w:type="pct"/>
                  <w:vMerge w:val="continue"/>
                  <w:vAlign w:val="center"/>
                </w:tcPr>
                <w:p w14:paraId="4DB73C01">
                  <w:pPr>
                    <w:pStyle w:val="15"/>
                  </w:pPr>
                </w:p>
              </w:tc>
              <w:tc>
                <w:tcPr>
                  <w:tcW w:w="609" w:type="pct"/>
                  <w:vMerge w:val="continue"/>
                  <w:vAlign w:val="center"/>
                </w:tcPr>
                <w:p w14:paraId="6AE33F95">
                  <w:pPr>
                    <w:pStyle w:val="15"/>
                  </w:pPr>
                </w:p>
              </w:tc>
              <w:tc>
                <w:tcPr>
                  <w:tcW w:w="653" w:type="pct"/>
                  <w:vAlign w:val="center"/>
                </w:tcPr>
                <w:p w14:paraId="579CF998">
                  <w:pPr>
                    <w:pStyle w:val="15"/>
                    <w:rPr>
                      <w:rFonts w:hint="default" w:eastAsia="宋体"/>
                      <w:lang w:val="en-US" w:eastAsia="zh-CN"/>
                    </w:rPr>
                  </w:pPr>
                  <w:r>
                    <w:rPr>
                      <w:rFonts w:hint="eastAsia"/>
                      <w:lang w:val="en-US" w:eastAsia="zh-CN"/>
                    </w:rPr>
                    <w:t>26.1</w:t>
                  </w:r>
                </w:p>
              </w:tc>
            </w:tr>
            <w:tr w14:paraId="161EC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44" w:type="pct"/>
                  <w:vMerge w:val="continue"/>
                  <w:vAlign w:val="center"/>
                </w:tcPr>
                <w:p w14:paraId="21809DC2">
                  <w:pPr>
                    <w:pStyle w:val="15"/>
                  </w:pPr>
                </w:p>
              </w:tc>
              <w:tc>
                <w:tcPr>
                  <w:tcW w:w="574" w:type="pct"/>
                  <w:vMerge w:val="continue"/>
                  <w:vAlign w:val="center"/>
                </w:tcPr>
                <w:p w14:paraId="02ADB8FF">
                  <w:pPr>
                    <w:pStyle w:val="15"/>
                  </w:pPr>
                </w:p>
              </w:tc>
              <w:tc>
                <w:tcPr>
                  <w:tcW w:w="595" w:type="pct"/>
                  <w:vMerge w:val="continue"/>
                  <w:vAlign w:val="center"/>
                </w:tcPr>
                <w:p w14:paraId="739351D8">
                  <w:pPr>
                    <w:pStyle w:val="15"/>
                  </w:pPr>
                </w:p>
              </w:tc>
              <w:tc>
                <w:tcPr>
                  <w:tcW w:w="503" w:type="pct"/>
                  <w:vMerge w:val="continue"/>
                  <w:vAlign w:val="center"/>
                </w:tcPr>
                <w:p w14:paraId="58006B1C">
                  <w:pPr>
                    <w:pStyle w:val="15"/>
                  </w:pPr>
                </w:p>
              </w:tc>
              <w:tc>
                <w:tcPr>
                  <w:tcW w:w="321" w:type="pct"/>
                  <w:vAlign w:val="center"/>
                </w:tcPr>
                <w:p w14:paraId="00805B7B">
                  <w:pPr>
                    <w:pStyle w:val="15"/>
                  </w:pPr>
                  <w:r>
                    <w:rPr>
                      <w:rFonts w:hint="eastAsia"/>
                    </w:rPr>
                    <w:t>西</w:t>
                  </w:r>
                </w:p>
              </w:tc>
              <w:tc>
                <w:tcPr>
                  <w:tcW w:w="419" w:type="pct"/>
                  <w:vAlign w:val="center"/>
                </w:tcPr>
                <w:p w14:paraId="517107F2">
                  <w:pPr>
                    <w:pStyle w:val="15"/>
                    <w:rPr>
                      <w:rFonts w:hint="default" w:eastAsia="宋体"/>
                      <w:lang w:val="en-US" w:eastAsia="zh-CN"/>
                    </w:rPr>
                  </w:pPr>
                  <w:r>
                    <w:rPr>
                      <w:rFonts w:hint="eastAsia"/>
                      <w:lang w:val="en-US" w:eastAsia="zh-CN"/>
                    </w:rPr>
                    <w:t>12</w:t>
                  </w:r>
                </w:p>
              </w:tc>
              <w:tc>
                <w:tcPr>
                  <w:tcW w:w="653" w:type="pct"/>
                  <w:vAlign w:val="center"/>
                </w:tcPr>
                <w:p w14:paraId="60CDFF50">
                  <w:pPr>
                    <w:pStyle w:val="15"/>
                    <w:rPr>
                      <w:rFonts w:hint="default" w:eastAsia="宋体"/>
                      <w:lang w:val="en-US" w:eastAsia="zh-CN"/>
                    </w:rPr>
                  </w:pPr>
                  <w:r>
                    <w:rPr>
                      <w:rFonts w:hint="eastAsia"/>
                      <w:lang w:val="en-US" w:eastAsia="zh-CN"/>
                    </w:rPr>
                    <w:t>58.4</w:t>
                  </w:r>
                </w:p>
              </w:tc>
              <w:tc>
                <w:tcPr>
                  <w:tcW w:w="325" w:type="pct"/>
                  <w:vMerge w:val="continue"/>
                  <w:vAlign w:val="center"/>
                </w:tcPr>
                <w:p w14:paraId="484EB06B">
                  <w:pPr>
                    <w:pStyle w:val="15"/>
                  </w:pPr>
                </w:p>
              </w:tc>
              <w:tc>
                <w:tcPr>
                  <w:tcW w:w="609" w:type="pct"/>
                  <w:vMerge w:val="continue"/>
                  <w:vAlign w:val="center"/>
                </w:tcPr>
                <w:p w14:paraId="2D6C7133">
                  <w:pPr>
                    <w:pStyle w:val="15"/>
                  </w:pPr>
                </w:p>
              </w:tc>
              <w:tc>
                <w:tcPr>
                  <w:tcW w:w="653" w:type="pct"/>
                  <w:vAlign w:val="center"/>
                </w:tcPr>
                <w:p w14:paraId="2C913CFD">
                  <w:pPr>
                    <w:pStyle w:val="15"/>
                    <w:rPr>
                      <w:rFonts w:hint="default" w:eastAsia="宋体"/>
                      <w:lang w:val="en-US" w:eastAsia="zh-CN"/>
                    </w:rPr>
                  </w:pPr>
                  <w:r>
                    <w:rPr>
                      <w:rFonts w:hint="eastAsia"/>
                      <w:lang w:val="en-US" w:eastAsia="zh-CN"/>
                    </w:rPr>
                    <w:t>33.4</w:t>
                  </w:r>
                </w:p>
              </w:tc>
            </w:tr>
            <w:tr w14:paraId="5079A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1A0963FF">
                  <w:pPr>
                    <w:pStyle w:val="15"/>
                  </w:pPr>
                </w:p>
              </w:tc>
              <w:tc>
                <w:tcPr>
                  <w:tcW w:w="574" w:type="pct"/>
                  <w:vMerge w:val="continue"/>
                  <w:vAlign w:val="center"/>
                </w:tcPr>
                <w:p w14:paraId="637CC4EF">
                  <w:pPr>
                    <w:pStyle w:val="15"/>
                  </w:pPr>
                </w:p>
              </w:tc>
              <w:tc>
                <w:tcPr>
                  <w:tcW w:w="595" w:type="pct"/>
                  <w:vMerge w:val="continue"/>
                  <w:vAlign w:val="center"/>
                </w:tcPr>
                <w:p w14:paraId="121ADC03">
                  <w:pPr>
                    <w:pStyle w:val="15"/>
                  </w:pPr>
                </w:p>
              </w:tc>
              <w:tc>
                <w:tcPr>
                  <w:tcW w:w="503" w:type="pct"/>
                  <w:vMerge w:val="continue"/>
                  <w:vAlign w:val="center"/>
                </w:tcPr>
                <w:p w14:paraId="4F5828DF">
                  <w:pPr>
                    <w:pStyle w:val="15"/>
                  </w:pPr>
                </w:p>
              </w:tc>
              <w:tc>
                <w:tcPr>
                  <w:tcW w:w="321" w:type="pct"/>
                  <w:vAlign w:val="center"/>
                </w:tcPr>
                <w:p w14:paraId="21CB50F1">
                  <w:pPr>
                    <w:pStyle w:val="15"/>
                  </w:pPr>
                  <w:r>
                    <w:rPr>
                      <w:rFonts w:hint="eastAsia"/>
                    </w:rPr>
                    <w:t>北</w:t>
                  </w:r>
                </w:p>
              </w:tc>
              <w:tc>
                <w:tcPr>
                  <w:tcW w:w="419" w:type="pct"/>
                  <w:vAlign w:val="center"/>
                </w:tcPr>
                <w:p w14:paraId="06B58456">
                  <w:pPr>
                    <w:pStyle w:val="15"/>
                    <w:rPr>
                      <w:rFonts w:hint="default" w:eastAsia="宋体"/>
                      <w:lang w:val="en-US" w:eastAsia="zh-CN"/>
                    </w:rPr>
                  </w:pPr>
                  <w:r>
                    <w:rPr>
                      <w:rFonts w:hint="eastAsia"/>
                      <w:lang w:val="en-US" w:eastAsia="zh-CN"/>
                    </w:rPr>
                    <w:t>28</w:t>
                  </w:r>
                </w:p>
              </w:tc>
              <w:tc>
                <w:tcPr>
                  <w:tcW w:w="653" w:type="pct"/>
                  <w:vAlign w:val="center"/>
                </w:tcPr>
                <w:p w14:paraId="08B5B961">
                  <w:pPr>
                    <w:pStyle w:val="15"/>
                    <w:rPr>
                      <w:rFonts w:hint="default" w:eastAsia="宋体"/>
                      <w:lang w:val="en-US" w:eastAsia="zh-CN"/>
                    </w:rPr>
                  </w:pPr>
                  <w:r>
                    <w:rPr>
                      <w:rFonts w:hint="eastAsia"/>
                      <w:lang w:val="en-US" w:eastAsia="zh-CN"/>
                    </w:rPr>
                    <w:t>51.1</w:t>
                  </w:r>
                </w:p>
              </w:tc>
              <w:tc>
                <w:tcPr>
                  <w:tcW w:w="325" w:type="pct"/>
                  <w:vMerge w:val="continue"/>
                  <w:vAlign w:val="center"/>
                </w:tcPr>
                <w:p w14:paraId="75286DF6">
                  <w:pPr>
                    <w:pStyle w:val="15"/>
                  </w:pPr>
                </w:p>
              </w:tc>
              <w:tc>
                <w:tcPr>
                  <w:tcW w:w="609" w:type="pct"/>
                  <w:vMerge w:val="continue"/>
                  <w:vAlign w:val="center"/>
                </w:tcPr>
                <w:p w14:paraId="72F06FD4">
                  <w:pPr>
                    <w:pStyle w:val="15"/>
                  </w:pPr>
                </w:p>
              </w:tc>
              <w:tc>
                <w:tcPr>
                  <w:tcW w:w="653" w:type="pct"/>
                  <w:vAlign w:val="center"/>
                </w:tcPr>
                <w:p w14:paraId="28A3C12F">
                  <w:pPr>
                    <w:pStyle w:val="15"/>
                    <w:rPr>
                      <w:rFonts w:hint="default" w:eastAsia="宋体"/>
                      <w:lang w:val="en-US" w:eastAsia="zh-CN"/>
                    </w:rPr>
                  </w:pPr>
                  <w:r>
                    <w:rPr>
                      <w:rFonts w:hint="eastAsia"/>
                      <w:lang w:val="en-US" w:eastAsia="zh-CN"/>
                    </w:rPr>
                    <w:t>26.1</w:t>
                  </w:r>
                </w:p>
              </w:tc>
            </w:tr>
            <w:tr w14:paraId="6F490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1875125F">
                  <w:pPr>
                    <w:pStyle w:val="15"/>
                  </w:pPr>
                </w:p>
              </w:tc>
              <w:tc>
                <w:tcPr>
                  <w:tcW w:w="574" w:type="pct"/>
                  <w:vMerge w:val="restart"/>
                  <w:vAlign w:val="center"/>
                </w:tcPr>
                <w:p w14:paraId="5FC3CB29">
                  <w:pPr>
                    <w:pStyle w:val="15"/>
                  </w:pPr>
                  <w:r>
                    <w:rPr>
                      <w:rFonts w:hint="eastAsia"/>
                    </w:rPr>
                    <w:t>风机</w:t>
                  </w:r>
                </w:p>
              </w:tc>
              <w:tc>
                <w:tcPr>
                  <w:tcW w:w="595" w:type="pct"/>
                  <w:vMerge w:val="restart"/>
                  <w:vAlign w:val="center"/>
                </w:tcPr>
                <w:p w14:paraId="120C7318">
                  <w:pPr>
                    <w:pStyle w:val="15"/>
                  </w:pPr>
                  <w:r>
                    <w:rPr>
                      <w:rFonts w:hint="eastAsia"/>
                    </w:rPr>
                    <w:t>80</w:t>
                  </w:r>
                </w:p>
              </w:tc>
              <w:tc>
                <w:tcPr>
                  <w:tcW w:w="503" w:type="pct"/>
                  <w:vMerge w:val="continue"/>
                  <w:vAlign w:val="center"/>
                </w:tcPr>
                <w:p w14:paraId="1B27FD92">
                  <w:pPr>
                    <w:pStyle w:val="15"/>
                  </w:pPr>
                </w:p>
              </w:tc>
              <w:tc>
                <w:tcPr>
                  <w:tcW w:w="321" w:type="pct"/>
                  <w:vAlign w:val="center"/>
                </w:tcPr>
                <w:p w14:paraId="74058C31">
                  <w:pPr>
                    <w:pStyle w:val="15"/>
                  </w:pPr>
                  <w:r>
                    <w:rPr>
                      <w:rFonts w:hint="eastAsia"/>
                    </w:rPr>
                    <w:t>东</w:t>
                  </w:r>
                </w:p>
              </w:tc>
              <w:tc>
                <w:tcPr>
                  <w:tcW w:w="419" w:type="pct"/>
                  <w:vAlign w:val="center"/>
                </w:tcPr>
                <w:p w14:paraId="42524501">
                  <w:pPr>
                    <w:pStyle w:val="15"/>
                    <w:rPr>
                      <w:rFonts w:hint="eastAsia" w:eastAsia="宋体"/>
                      <w:lang w:val="en-US" w:eastAsia="zh-CN"/>
                    </w:rPr>
                  </w:pPr>
                  <w:r>
                    <w:rPr>
                      <w:rFonts w:hint="eastAsia"/>
                      <w:lang w:val="en-US" w:eastAsia="zh-CN"/>
                    </w:rPr>
                    <w:t>8</w:t>
                  </w:r>
                </w:p>
              </w:tc>
              <w:tc>
                <w:tcPr>
                  <w:tcW w:w="653" w:type="pct"/>
                  <w:vAlign w:val="center"/>
                </w:tcPr>
                <w:p w14:paraId="155BDDD1">
                  <w:pPr>
                    <w:pStyle w:val="15"/>
                    <w:rPr>
                      <w:rFonts w:hint="default" w:eastAsia="宋体"/>
                      <w:lang w:val="en-US" w:eastAsia="zh-CN"/>
                    </w:rPr>
                  </w:pPr>
                  <w:r>
                    <w:rPr>
                      <w:rFonts w:hint="eastAsia"/>
                      <w:lang w:val="en-US" w:eastAsia="zh-CN"/>
                    </w:rPr>
                    <w:t>61.9</w:t>
                  </w:r>
                </w:p>
              </w:tc>
              <w:tc>
                <w:tcPr>
                  <w:tcW w:w="325" w:type="pct"/>
                  <w:vMerge w:val="continue"/>
                  <w:vAlign w:val="center"/>
                </w:tcPr>
                <w:p w14:paraId="036801F2">
                  <w:pPr>
                    <w:pStyle w:val="15"/>
                  </w:pPr>
                </w:p>
              </w:tc>
              <w:tc>
                <w:tcPr>
                  <w:tcW w:w="609" w:type="pct"/>
                  <w:vMerge w:val="continue"/>
                  <w:vAlign w:val="center"/>
                </w:tcPr>
                <w:p w14:paraId="4BA82431">
                  <w:pPr>
                    <w:pStyle w:val="15"/>
                  </w:pPr>
                </w:p>
              </w:tc>
              <w:tc>
                <w:tcPr>
                  <w:tcW w:w="653" w:type="pct"/>
                  <w:vAlign w:val="center"/>
                </w:tcPr>
                <w:p w14:paraId="46450933">
                  <w:pPr>
                    <w:pStyle w:val="15"/>
                    <w:rPr>
                      <w:rFonts w:hint="default" w:eastAsia="宋体"/>
                      <w:lang w:val="en-US" w:eastAsia="zh-CN"/>
                    </w:rPr>
                  </w:pPr>
                  <w:r>
                    <w:rPr>
                      <w:rFonts w:hint="eastAsia"/>
                      <w:lang w:val="en-US" w:eastAsia="zh-CN"/>
                    </w:rPr>
                    <w:t>36.9</w:t>
                  </w:r>
                </w:p>
              </w:tc>
            </w:tr>
            <w:tr w14:paraId="2AE57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7902BF8E">
                  <w:pPr>
                    <w:pStyle w:val="15"/>
                  </w:pPr>
                </w:p>
              </w:tc>
              <w:tc>
                <w:tcPr>
                  <w:tcW w:w="574" w:type="pct"/>
                  <w:vMerge w:val="continue"/>
                  <w:vAlign w:val="center"/>
                </w:tcPr>
                <w:p w14:paraId="4CE88D6C">
                  <w:pPr>
                    <w:pStyle w:val="15"/>
                  </w:pPr>
                </w:p>
              </w:tc>
              <w:tc>
                <w:tcPr>
                  <w:tcW w:w="595" w:type="pct"/>
                  <w:vMerge w:val="continue"/>
                  <w:vAlign w:val="center"/>
                </w:tcPr>
                <w:p w14:paraId="57137A08">
                  <w:pPr>
                    <w:pStyle w:val="15"/>
                  </w:pPr>
                </w:p>
              </w:tc>
              <w:tc>
                <w:tcPr>
                  <w:tcW w:w="503" w:type="pct"/>
                  <w:vMerge w:val="continue"/>
                  <w:vAlign w:val="center"/>
                </w:tcPr>
                <w:p w14:paraId="6C85B7C8">
                  <w:pPr>
                    <w:pStyle w:val="15"/>
                  </w:pPr>
                </w:p>
              </w:tc>
              <w:tc>
                <w:tcPr>
                  <w:tcW w:w="321" w:type="pct"/>
                  <w:vAlign w:val="center"/>
                </w:tcPr>
                <w:p w14:paraId="3C4D953A">
                  <w:pPr>
                    <w:pStyle w:val="15"/>
                  </w:pPr>
                  <w:r>
                    <w:rPr>
                      <w:rFonts w:hint="eastAsia"/>
                    </w:rPr>
                    <w:t>南</w:t>
                  </w:r>
                </w:p>
              </w:tc>
              <w:tc>
                <w:tcPr>
                  <w:tcW w:w="419" w:type="pct"/>
                  <w:vAlign w:val="center"/>
                </w:tcPr>
                <w:p w14:paraId="02DA9116">
                  <w:pPr>
                    <w:pStyle w:val="15"/>
                    <w:rPr>
                      <w:rFonts w:hint="default" w:eastAsia="宋体"/>
                      <w:lang w:val="en-US" w:eastAsia="zh-CN"/>
                    </w:rPr>
                  </w:pPr>
                  <w:r>
                    <w:rPr>
                      <w:rFonts w:hint="eastAsia"/>
                      <w:lang w:val="en-US" w:eastAsia="zh-CN"/>
                    </w:rPr>
                    <w:t>30</w:t>
                  </w:r>
                </w:p>
              </w:tc>
              <w:tc>
                <w:tcPr>
                  <w:tcW w:w="653" w:type="pct"/>
                  <w:vAlign w:val="center"/>
                </w:tcPr>
                <w:p w14:paraId="0BCBDDEE">
                  <w:pPr>
                    <w:pStyle w:val="15"/>
                    <w:rPr>
                      <w:rFonts w:hint="default" w:eastAsia="宋体"/>
                      <w:lang w:val="en-US" w:eastAsia="zh-CN"/>
                    </w:rPr>
                  </w:pPr>
                  <w:r>
                    <w:rPr>
                      <w:rFonts w:hint="eastAsia"/>
                      <w:lang w:val="en-US" w:eastAsia="zh-CN"/>
                    </w:rPr>
                    <w:t>50.5</w:t>
                  </w:r>
                </w:p>
              </w:tc>
              <w:tc>
                <w:tcPr>
                  <w:tcW w:w="325" w:type="pct"/>
                  <w:vMerge w:val="continue"/>
                  <w:vAlign w:val="center"/>
                </w:tcPr>
                <w:p w14:paraId="1626DAE6">
                  <w:pPr>
                    <w:pStyle w:val="15"/>
                  </w:pPr>
                </w:p>
              </w:tc>
              <w:tc>
                <w:tcPr>
                  <w:tcW w:w="609" w:type="pct"/>
                  <w:vMerge w:val="continue"/>
                  <w:vAlign w:val="center"/>
                </w:tcPr>
                <w:p w14:paraId="430FFEE5">
                  <w:pPr>
                    <w:pStyle w:val="15"/>
                  </w:pPr>
                </w:p>
              </w:tc>
              <w:tc>
                <w:tcPr>
                  <w:tcW w:w="653" w:type="pct"/>
                  <w:vAlign w:val="center"/>
                </w:tcPr>
                <w:p w14:paraId="00D3E5B4">
                  <w:pPr>
                    <w:pStyle w:val="15"/>
                    <w:rPr>
                      <w:rFonts w:hint="default" w:eastAsia="宋体"/>
                      <w:lang w:val="en-US" w:eastAsia="zh-CN"/>
                    </w:rPr>
                  </w:pPr>
                  <w:r>
                    <w:rPr>
                      <w:rFonts w:hint="eastAsia"/>
                      <w:lang w:val="en-US" w:eastAsia="zh-CN"/>
                    </w:rPr>
                    <w:t>25.5</w:t>
                  </w:r>
                </w:p>
              </w:tc>
            </w:tr>
            <w:tr w14:paraId="67FD1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37CF9988">
                  <w:pPr>
                    <w:pStyle w:val="15"/>
                  </w:pPr>
                </w:p>
              </w:tc>
              <w:tc>
                <w:tcPr>
                  <w:tcW w:w="574" w:type="pct"/>
                  <w:vMerge w:val="continue"/>
                  <w:vAlign w:val="center"/>
                </w:tcPr>
                <w:p w14:paraId="4BD90C86">
                  <w:pPr>
                    <w:pStyle w:val="15"/>
                  </w:pPr>
                </w:p>
              </w:tc>
              <w:tc>
                <w:tcPr>
                  <w:tcW w:w="595" w:type="pct"/>
                  <w:vMerge w:val="continue"/>
                  <w:vAlign w:val="center"/>
                </w:tcPr>
                <w:p w14:paraId="743F51CE">
                  <w:pPr>
                    <w:pStyle w:val="15"/>
                  </w:pPr>
                </w:p>
              </w:tc>
              <w:tc>
                <w:tcPr>
                  <w:tcW w:w="503" w:type="pct"/>
                  <w:vMerge w:val="continue"/>
                  <w:vAlign w:val="center"/>
                </w:tcPr>
                <w:p w14:paraId="277C1D8D">
                  <w:pPr>
                    <w:pStyle w:val="15"/>
                  </w:pPr>
                </w:p>
              </w:tc>
              <w:tc>
                <w:tcPr>
                  <w:tcW w:w="321" w:type="pct"/>
                  <w:vAlign w:val="center"/>
                </w:tcPr>
                <w:p w14:paraId="13A9B8B6">
                  <w:pPr>
                    <w:pStyle w:val="15"/>
                  </w:pPr>
                  <w:r>
                    <w:rPr>
                      <w:rFonts w:hint="eastAsia"/>
                    </w:rPr>
                    <w:t>西</w:t>
                  </w:r>
                </w:p>
              </w:tc>
              <w:tc>
                <w:tcPr>
                  <w:tcW w:w="419" w:type="pct"/>
                  <w:vAlign w:val="center"/>
                </w:tcPr>
                <w:p w14:paraId="0198E654">
                  <w:pPr>
                    <w:pStyle w:val="15"/>
                    <w:rPr>
                      <w:rFonts w:hint="default" w:eastAsia="宋体"/>
                      <w:lang w:val="en-US" w:eastAsia="zh-CN"/>
                    </w:rPr>
                  </w:pPr>
                  <w:r>
                    <w:rPr>
                      <w:rFonts w:hint="eastAsia"/>
                      <w:lang w:val="en-US" w:eastAsia="zh-CN"/>
                    </w:rPr>
                    <w:t>12</w:t>
                  </w:r>
                </w:p>
              </w:tc>
              <w:tc>
                <w:tcPr>
                  <w:tcW w:w="653" w:type="pct"/>
                  <w:vAlign w:val="center"/>
                </w:tcPr>
                <w:p w14:paraId="66DEA0C1">
                  <w:pPr>
                    <w:pStyle w:val="15"/>
                    <w:rPr>
                      <w:rFonts w:hint="default" w:eastAsia="宋体"/>
                      <w:lang w:val="en-US" w:eastAsia="zh-CN"/>
                    </w:rPr>
                  </w:pPr>
                  <w:r>
                    <w:rPr>
                      <w:rFonts w:hint="eastAsia"/>
                      <w:lang w:val="en-US" w:eastAsia="zh-CN"/>
                    </w:rPr>
                    <w:t>58.4</w:t>
                  </w:r>
                </w:p>
              </w:tc>
              <w:tc>
                <w:tcPr>
                  <w:tcW w:w="325" w:type="pct"/>
                  <w:vMerge w:val="continue"/>
                  <w:vAlign w:val="center"/>
                </w:tcPr>
                <w:p w14:paraId="05A16FDC">
                  <w:pPr>
                    <w:pStyle w:val="15"/>
                  </w:pPr>
                </w:p>
              </w:tc>
              <w:tc>
                <w:tcPr>
                  <w:tcW w:w="609" w:type="pct"/>
                  <w:vMerge w:val="continue"/>
                  <w:vAlign w:val="center"/>
                </w:tcPr>
                <w:p w14:paraId="617C9418">
                  <w:pPr>
                    <w:pStyle w:val="15"/>
                  </w:pPr>
                </w:p>
              </w:tc>
              <w:tc>
                <w:tcPr>
                  <w:tcW w:w="653" w:type="pct"/>
                  <w:vAlign w:val="center"/>
                </w:tcPr>
                <w:p w14:paraId="6332F74A">
                  <w:pPr>
                    <w:pStyle w:val="15"/>
                    <w:rPr>
                      <w:rFonts w:hint="default" w:eastAsia="宋体"/>
                      <w:lang w:val="en-US" w:eastAsia="zh-CN"/>
                    </w:rPr>
                  </w:pPr>
                  <w:r>
                    <w:rPr>
                      <w:rFonts w:hint="eastAsia"/>
                      <w:lang w:val="en-US" w:eastAsia="zh-CN"/>
                    </w:rPr>
                    <w:t>33.4</w:t>
                  </w:r>
                </w:p>
              </w:tc>
            </w:tr>
            <w:tr w14:paraId="74340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3B09C8E3">
                  <w:pPr>
                    <w:pStyle w:val="15"/>
                  </w:pPr>
                </w:p>
              </w:tc>
              <w:tc>
                <w:tcPr>
                  <w:tcW w:w="574" w:type="pct"/>
                  <w:vMerge w:val="continue"/>
                  <w:vAlign w:val="center"/>
                </w:tcPr>
                <w:p w14:paraId="0AFC2053">
                  <w:pPr>
                    <w:pStyle w:val="15"/>
                  </w:pPr>
                </w:p>
              </w:tc>
              <w:tc>
                <w:tcPr>
                  <w:tcW w:w="595" w:type="pct"/>
                  <w:vMerge w:val="continue"/>
                  <w:vAlign w:val="center"/>
                </w:tcPr>
                <w:p w14:paraId="4BDDFB44">
                  <w:pPr>
                    <w:pStyle w:val="15"/>
                  </w:pPr>
                </w:p>
              </w:tc>
              <w:tc>
                <w:tcPr>
                  <w:tcW w:w="503" w:type="pct"/>
                  <w:vMerge w:val="continue"/>
                  <w:vAlign w:val="center"/>
                </w:tcPr>
                <w:p w14:paraId="0BE3E473">
                  <w:pPr>
                    <w:pStyle w:val="15"/>
                  </w:pPr>
                </w:p>
              </w:tc>
              <w:tc>
                <w:tcPr>
                  <w:tcW w:w="321" w:type="pct"/>
                  <w:vAlign w:val="center"/>
                </w:tcPr>
                <w:p w14:paraId="4254C027">
                  <w:pPr>
                    <w:pStyle w:val="15"/>
                  </w:pPr>
                  <w:r>
                    <w:rPr>
                      <w:rFonts w:hint="eastAsia"/>
                    </w:rPr>
                    <w:t>北</w:t>
                  </w:r>
                </w:p>
              </w:tc>
              <w:tc>
                <w:tcPr>
                  <w:tcW w:w="419" w:type="pct"/>
                  <w:vAlign w:val="center"/>
                </w:tcPr>
                <w:p w14:paraId="5A5BB7EE">
                  <w:pPr>
                    <w:pStyle w:val="15"/>
                    <w:rPr>
                      <w:rFonts w:hint="default" w:eastAsia="宋体"/>
                      <w:lang w:val="en-US" w:eastAsia="zh-CN"/>
                    </w:rPr>
                  </w:pPr>
                  <w:r>
                    <w:rPr>
                      <w:rFonts w:hint="eastAsia"/>
                      <w:lang w:val="en-US" w:eastAsia="zh-CN"/>
                    </w:rPr>
                    <w:t>26</w:t>
                  </w:r>
                </w:p>
              </w:tc>
              <w:tc>
                <w:tcPr>
                  <w:tcW w:w="653" w:type="pct"/>
                  <w:vAlign w:val="center"/>
                </w:tcPr>
                <w:p w14:paraId="031B233F">
                  <w:pPr>
                    <w:pStyle w:val="15"/>
                    <w:rPr>
                      <w:rFonts w:hint="default" w:eastAsia="宋体"/>
                      <w:lang w:val="en-US" w:eastAsia="zh-CN"/>
                    </w:rPr>
                  </w:pPr>
                  <w:r>
                    <w:rPr>
                      <w:rFonts w:hint="eastAsia"/>
                      <w:lang w:val="en-US" w:eastAsia="zh-CN"/>
                    </w:rPr>
                    <w:t>51.7</w:t>
                  </w:r>
                </w:p>
              </w:tc>
              <w:tc>
                <w:tcPr>
                  <w:tcW w:w="325" w:type="pct"/>
                  <w:vMerge w:val="continue"/>
                  <w:vAlign w:val="center"/>
                </w:tcPr>
                <w:p w14:paraId="2976ACA6">
                  <w:pPr>
                    <w:pStyle w:val="15"/>
                  </w:pPr>
                </w:p>
              </w:tc>
              <w:tc>
                <w:tcPr>
                  <w:tcW w:w="609" w:type="pct"/>
                  <w:vMerge w:val="continue"/>
                  <w:vAlign w:val="center"/>
                </w:tcPr>
                <w:p w14:paraId="0EE71C5C">
                  <w:pPr>
                    <w:pStyle w:val="15"/>
                  </w:pPr>
                </w:p>
              </w:tc>
              <w:tc>
                <w:tcPr>
                  <w:tcW w:w="653" w:type="pct"/>
                  <w:vAlign w:val="center"/>
                </w:tcPr>
                <w:p w14:paraId="4FDDB560">
                  <w:pPr>
                    <w:pStyle w:val="15"/>
                    <w:rPr>
                      <w:rFonts w:hint="default" w:eastAsia="宋体"/>
                      <w:lang w:val="en-US" w:eastAsia="zh-CN"/>
                    </w:rPr>
                  </w:pPr>
                  <w:r>
                    <w:rPr>
                      <w:rFonts w:hint="eastAsia"/>
                      <w:lang w:val="en-US" w:eastAsia="zh-CN"/>
                    </w:rPr>
                    <w:t>26.7</w:t>
                  </w:r>
                </w:p>
              </w:tc>
            </w:tr>
            <w:tr w14:paraId="6618D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7092F6C5">
                  <w:pPr>
                    <w:pStyle w:val="15"/>
                  </w:pPr>
                </w:p>
              </w:tc>
              <w:tc>
                <w:tcPr>
                  <w:tcW w:w="574" w:type="pct"/>
                  <w:vMerge w:val="restart"/>
                  <w:vAlign w:val="center"/>
                </w:tcPr>
                <w:p w14:paraId="473AB2CD">
                  <w:pPr>
                    <w:pStyle w:val="15"/>
                  </w:pPr>
                  <w:r>
                    <w:rPr>
                      <w:rFonts w:hint="eastAsia"/>
                    </w:rPr>
                    <w:t>除尘器</w:t>
                  </w:r>
                </w:p>
              </w:tc>
              <w:tc>
                <w:tcPr>
                  <w:tcW w:w="595" w:type="pct"/>
                  <w:vMerge w:val="restart"/>
                  <w:vAlign w:val="center"/>
                </w:tcPr>
                <w:p w14:paraId="26F356EF">
                  <w:pPr>
                    <w:pStyle w:val="15"/>
                  </w:pPr>
                  <w:r>
                    <w:rPr>
                      <w:rFonts w:hint="eastAsia"/>
                    </w:rPr>
                    <w:t>80</w:t>
                  </w:r>
                </w:p>
              </w:tc>
              <w:tc>
                <w:tcPr>
                  <w:tcW w:w="503" w:type="pct"/>
                  <w:vMerge w:val="continue"/>
                  <w:vAlign w:val="center"/>
                </w:tcPr>
                <w:p w14:paraId="175AFD3B">
                  <w:pPr>
                    <w:pStyle w:val="15"/>
                  </w:pPr>
                </w:p>
              </w:tc>
              <w:tc>
                <w:tcPr>
                  <w:tcW w:w="321" w:type="pct"/>
                  <w:vAlign w:val="center"/>
                </w:tcPr>
                <w:p w14:paraId="7B58DD5A">
                  <w:pPr>
                    <w:pStyle w:val="15"/>
                  </w:pPr>
                  <w:r>
                    <w:rPr>
                      <w:rFonts w:hint="eastAsia"/>
                    </w:rPr>
                    <w:t>东</w:t>
                  </w:r>
                </w:p>
              </w:tc>
              <w:tc>
                <w:tcPr>
                  <w:tcW w:w="419" w:type="pct"/>
                  <w:vAlign w:val="center"/>
                </w:tcPr>
                <w:p w14:paraId="64C562B9">
                  <w:pPr>
                    <w:pStyle w:val="15"/>
                    <w:rPr>
                      <w:rFonts w:hint="eastAsia" w:eastAsia="宋体"/>
                      <w:lang w:val="en-US" w:eastAsia="zh-CN"/>
                    </w:rPr>
                  </w:pPr>
                  <w:r>
                    <w:rPr>
                      <w:rFonts w:hint="eastAsia"/>
                      <w:lang w:val="en-US" w:eastAsia="zh-CN"/>
                    </w:rPr>
                    <w:t>8</w:t>
                  </w:r>
                </w:p>
              </w:tc>
              <w:tc>
                <w:tcPr>
                  <w:tcW w:w="653" w:type="pct"/>
                  <w:vAlign w:val="center"/>
                </w:tcPr>
                <w:p w14:paraId="7E9386C0">
                  <w:pPr>
                    <w:pStyle w:val="15"/>
                    <w:rPr>
                      <w:rFonts w:hint="default" w:eastAsia="宋体"/>
                      <w:lang w:val="en-US" w:eastAsia="zh-CN"/>
                    </w:rPr>
                  </w:pPr>
                  <w:r>
                    <w:rPr>
                      <w:rFonts w:hint="eastAsia"/>
                      <w:lang w:val="en-US" w:eastAsia="zh-CN"/>
                    </w:rPr>
                    <w:t>61.9</w:t>
                  </w:r>
                </w:p>
              </w:tc>
              <w:tc>
                <w:tcPr>
                  <w:tcW w:w="325" w:type="pct"/>
                  <w:vMerge w:val="continue"/>
                  <w:vAlign w:val="center"/>
                </w:tcPr>
                <w:p w14:paraId="4345C0A7">
                  <w:pPr>
                    <w:pStyle w:val="15"/>
                  </w:pPr>
                </w:p>
              </w:tc>
              <w:tc>
                <w:tcPr>
                  <w:tcW w:w="609" w:type="pct"/>
                  <w:vMerge w:val="continue"/>
                  <w:vAlign w:val="center"/>
                </w:tcPr>
                <w:p w14:paraId="3CDA0D7F">
                  <w:pPr>
                    <w:pStyle w:val="15"/>
                  </w:pPr>
                </w:p>
              </w:tc>
              <w:tc>
                <w:tcPr>
                  <w:tcW w:w="653" w:type="pct"/>
                  <w:vAlign w:val="center"/>
                </w:tcPr>
                <w:p w14:paraId="68DF5749">
                  <w:pPr>
                    <w:pStyle w:val="15"/>
                    <w:rPr>
                      <w:rFonts w:hint="default" w:eastAsia="宋体"/>
                      <w:lang w:val="en-US" w:eastAsia="zh-CN"/>
                    </w:rPr>
                  </w:pPr>
                  <w:r>
                    <w:rPr>
                      <w:rFonts w:hint="eastAsia"/>
                      <w:lang w:val="en-US" w:eastAsia="zh-CN"/>
                    </w:rPr>
                    <w:t>36.9</w:t>
                  </w:r>
                </w:p>
              </w:tc>
            </w:tr>
            <w:tr w14:paraId="7AF46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shd w:val="clear" w:color="auto" w:fill="auto"/>
                  <w:vAlign w:val="center"/>
                </w:tcPr>
                <w:p w14:paraId="5E2E7614">
                  <w:pPr>
                    <w:pStyle w:val="15"/>
                  </w:pPr>
                </w:p>
              </w:tc>
              <w:tc>
                <w:tcPr>
                  <w:tcW w:w="574" w:type="pct"/>
                  <w:vMerge w:val="continue"/>
                  <w:vAlign w:val="center"/>
                </w:tcPr>
                <w:p w14:paraId="4DBD9447">
                  <w:pPr>
                    <w:pStyle w:val="15"/>
                  </w:pPr>
                </w:p>
              </w:tc>
              <w:tc>
                <w:tcPr>
                  <w:tcW w:w="595" w:type="pct"/>
                  <w:vMerge w:val="continue"/>
                  <w:vAlign w:val="center"/>
                </w:tcPr>
                <w:p w14:paraId="6DB0F856">
                  <w:pPr>
                    <w:pStyle w:val="15"/>
                  </w:pPr>
                </w:p>
              </w:tc>
              <w:tc>
                <w:tcPr>
                  <w:tcW w:w="503" w:type="pct"/>
                  <w:vMerge w:val="continue"/>
                  <w:vAlign w:val="center"/>
                </w:tcPr>
                <w:p w14:paraId="62EF956D">
                  <w:pPr>
                    <w:pStyle w:val="15"/>
                  </w:pPr>
                </w:p>
              </w:tc>
              <w:tc>
                <w:tcPr>
                  <w:tcW w:w="321" w:type="pct"/>
                  <w:vAlign w:val="center"/>
                </w:tcPr>
                <w:p w14:paraId="5AA88795">
                  <w:pPr>
                    <w:pStyle w:val="15"/>
                  </w:pPr>
                  <w:r>
                    <w:rPr>
                      <w:rFonts w:hint="eastAsia"/>
                    </w:rPr>
                    <w:t>南</w:t>
                  </w:r>
                </w:p>
              </w:tc>
              <w:tc>
                <w:tcPr>
                  <w:tcW w:w="419" w:type="pct"/>
                  <w:vAlign w:val="center"/>
                </w:tcPr>
                <w:p w14:paraId="4B940B22">
                  <w:pPr>
                    <w:pStyle w:val="15"/>
                    <w:rPr>
                      <w:rFonts w:hint="default" w:eastAsia="宋体"/>
                      <w:lang w:val="en-US" w:eastAsia="zh-CN"/>
                    </w:rPr>
                  </w:pPr>
                  <w:r>
                    <w:rPr>
                      <w:rFonts w:hint="eastAsia"/>
                      <w:lang w:val="en-US" w:eastAsia="zh-CN"/>
                    </w:rPr>
                    <w:t>31</w:t>
                  </w:r>
                </w:p>
              </w:tc>
              <w:tc>
                <w:tcPr>
                  <w:tcW w:w="653" w:type="pct"/>
                  <w:vAlign w:val="center"/>
                </w:tcPr>
                <w:p w14:paraId="1F41A669">
                  <w:pPr>
                    <w:pStyle w:val="15"/>
                    <w:rPr>
                      <w:rFonts w:hint="default" w:eastAsia="宋体"/>
                      <w:lang w:val="en-US" w:eastAsia="zh-CN"/>
                    </w:rPr>
                  </w:pPr>
                  <w:r>
                    <w:rPr>
                      <w:rFonts w:hint="eastAsia"/>
                      <w:lang w:val="en-US" w:eastAsia="zh-CN"/>
                    </w:rPr>
                    <w:t>50.2</w:t>
                  </w:r>
                </w:p>
              </w:tc>
              <w:tc>
                <w:tcPr>
                  <w:tcW w:w="325" w:type="pct"/>
                  <w:vMerge w:val="continue"/>
                  <w:vAlign w:val="center"/>
                </w:tcPr>
                <w:p w14:paraId="6577B01A">
                  <w:pPr>
                    <w:pStyle w:val="15"/>
                  </w:pPr>
                </w:p>
              </w:tc>
              <w:tc>
                <w:tcPr>
                  <w:tcW w:w="609" w:type="pct"/>
                  <w:vMerge w:val="continue"/>
                  <w:vAlign w:val="center"/>
                </w:tcPr>
                <w:p w14:paraId="73F65EAE">
                  <w:pPr>
                    <w:pStyle w:val="15"/>
                  </w:pPr>
                </w:p>
              </w:tc>
              <w:tc>
                <w:tcPr>
                  <w:tcW w:w="653" w:type="pct"/>
                  <w:vAlign w:val="center"/>
                </w:tcPr>
                <w:p w14:paraId="08F48E91">
                  <w:pPr>
                    <w:pStyle w:val="15"/>
                    <w:rPr>
                      <w:rFonts w:hint="default" w:eastAsia="宋体"/>
                      <w:lang w:val="en-US" w:eastAsia="zh-CN"/>
                    </w:rPr>
                  </w:pPr>
                  <w:r>
                    <w:rPr>
                      <w:rFonts w:hint="eastAsia"/>
                      <w:lang w:val="en-US" w:eastAsia="zh-CN"/>
                    </w:rPr>
                    <w:t>25.2</w:t>
                  </w:r>
                </w:p>
              </w:tc>
            </w:tr>
            <w:tr w14:paraId="22E12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35A121A5">
                  <w:pPr>
                    <w:pStyle w:val="15"/>
                  </w:pPr>
                </w:p>
              </w:tc>
              <w:tc>
                <w:tcPr>
                  <w:tcW w:w="574" w:type="pct"/>
                  <w:vMerge w:val="continue"/>
                  <w:vAlign w:val="center"/>
                </w:tcPr>
                <w:p w14:paraId="2CE4BC4C">
                  <w:pPr>
                    <w:pStyle w:val="15"/>
                  </w:pPr>
                </w:p>
              </w:tc>
              <w:tc>
                <w:tcPr>
                  <w:tcW w:w="595" w:type="pct"/>
                  <w:vMerge w:val="continue"/>
                  <w:vAlign w:val="center"/>
                </w:tcPr>
                <w:p w14:paraId="4684FA97">
                  <w:pPr>
                    <w:pStyle w:val="15"/>
                  </w:pPr>
                </w:p>
              </w:tc>
              <w:tc>
                <w:tcPr>
                  <w:tcW w:w="503" w:type="pct"/>
                  <w:vMerge w:val="continue"/>
                  <w:vAlign w:val="center"/>
                </w:tcPr>
                <w:p w14:paraId="0C651BE3">
                  <w:pPr>
                    <w:pStyle w:val="15"/>
                  </w:pPr>
                </w:p>
              </w:tc>
              <w:tc>
                <w:tcPr>
                  <w:tcW w:w="321" w:type="pct"/>
                  <w:vAlign w:val="center"/>
                </w:tcPr>
                <w:p w14:paraId="2A74456C">
                  <w:pPr>
                    <w:pStyle w:val="15"/>
                  </w:pPr>
                  <w:r>
                    <w:rPr>
                      <w:rFonts w:hint="eastAsia"/>
                    </w:rPr>
                    <w:t>西</w:t>
                  </w:r>
                </w:p>
              </w:tc>
              <w:tc>
                <w:tcPr>
                  <w:tcW w:w="419" w:type="pct"/>
                  <w:vAlign w:val="center"/>
                </w:tcPr>
                <w:p w14:paraId="54211BF3">
                  <w:pPr>
                    <w:pStyle w:val="15"/>
                    <w:rPr>
                      <w:rFonts w:hint="default" w:eastAsia="宋体"/>
                      <w:lang w:val="en-US" w:eastAsia="zh-CN"/>
                    </w:rPr>
                  </w:pPr>
                  <w:r>
                    <w:rPr>
                      <w:rFonts w:hint="eastAsia"/>
                      <w:lang w:val="en-US" w:eastAsia="zh-CN"/>
                    </w:rPr>
                    <w:t>12</w:t>
                  </w:r>
                </w:p>
              </w:tc>
              <w:tc>
                <w:tcPr>
                  <w:tcW w:w="653" w:type="pct"/>
                  <w:vAlign w:val="center"/>
                </w:tcPr>
                <w:p w14:paraId="36441FE9">
                  <w:pPr>
                    <w:pStyle w:val="15"/>
                    <w:rPr>
                      <w:rFonts w:hint="default" w:eastAsia="宋体"/>
                      <w:lang w:val="en-US" w:eastAsia="zh-CN"/>
                    </w:rPr>
                  </w:pPr>
                  <w:r>
                    <w:rPr>
                      <w:rFonts w:hint="eastAsia"/>
                      <w:lang w:val="en-US" w:eastAsia="zh-CN"/>
                    </w:rPr>
                    <w:t>58.4</w:t>
                  </w:r>
                </w:p>
              </w:tc>
              <w:tc>
                <w:tcPr>
                  <w:tcW w:w="325" w:type="pct"/>
                  <w:vMerge w:val="continue"/>
                  <w:vAlign w:val="center"/>
                </w:tcPr>
                <w:p w14:paraId="7982E0FA">
                  <w:pPr>
                    <w:pStyle w:val="15"/>
                  </w:pPr>
                </w:p>
              </w:tc>
              <w:tc>
                <w:tcPr>
                  <w:tcW w:w="609" w:type="pct"/>
                  <w:vMerge w:val="continue"/>
                  <w:vAlign w:val="center"/>
                </w:tcPr>
                <w:p w14:paraId="478F1A9A">
                  <w:pPr>
                    <w:pStyle w:val="15"/>
                  </w:pPr>
                </w:p>
              </w:tc>
              <w:tc>
                <w:tcPr>
                  <w:tcW w:w="653" w:type="pct"/>
                  <w:vAlign w:val="center"/>
                </w:tcPr>
                <w:p w14:paraId="4A591C89">
                  <w:pPr>
                    <w:pStyle w:val="15"/>
                    <w:rPr>
                      <w:rFonts w:hint="default" w:eastAsia="宋体"/>
                      <w:lang w:val="en-US" w:eastAsia="zh-CN"/>
                    </w:rPr>
                  </w:pPr>
                  <w:r>
                    <w:rPr>
                      <w:rFonts w:hint="eastAsia"/>
                      <w:lang w:val="en-US" w:eastAsia="zh-CN"/>
                    </w:rPr>
                    <w:t>33.4</w:t>
                  </w:r>
                </w:p>
              </w:tc>
            </w:tr>
            <w:tr w14:paraId="5F948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Merge w:val="continue"/>
                  <w:vAlign w:val="center"/>
                </w:tcPr>
                <w:p w14:paraId="6C95CF5A">
                  <w:pPr>
                    <w:pStyle w:val="15"/>
                  </w:pPr>
                </w:p>
              </w:tc>
              <w:tc>
                <w:tcPr>
                  <w:tcW w:w="574" w:type="pct"/>
                  <w:vMerge w:val="continue"/>
                  <w:vAlign w:val="center"/>
                </w:tcPr>
                <w:p w14:paraId="190050B8">
                  <w:pPr>
                    <w:pStyle w:val="15"/>
                  </w:pPr>
                </w:p>
              </w:tc>
              <w:tc>
                <w:tcPr>
                  <w:tcW w:w="595" w:type="pct"/>
                  <w:vMerge w:val="continue"/>
                  <w:vAlign w:val="center"/>
                </w:tcPr>
                <w:p w14:paraId="4C4975F9">
                  <w:pPr>
                    <w:pStyle w:val="15"/>
                  </w:pPr>
                </w:p>
              </w:tc>
              <w:tc>
                <w:tcPr>
                  <w:tcW w:w="503" w:type="pct"/>
                  <w:vMerge w:val="continue"/>
                  <w:vAlign w:val="center"/>
                </w:tcPr>
                <w:p w14:paraId="718BAEC8">
                  <w:pPr>
                    <w:pStyle w:val="15"/>
                  </w:pPr>
                </w:p>
              </w:tc>
              <w:tc>
                <w:tcPr>
                  <w:tcW w:w="321" w:type="pct"/>
                  <w:vAlign w:val="center"/>
                </w:tcPr>
                <w:p w14:paraId="4D48FE3D">
                  <w:pPr>
                    <w:pStyle w:val="15"/>
                  </w:pPr>
                  <w:r>
                    <w:rPr>
                      <w:rFonts w:hint="eastAsia"/>
                    </w:rPr>
                    <w:t>北</w:t>
                  </w:r>
                </w:p>
              </w:tc>
              <w:tc>
                <w:tcPr>
                  <w:tcW w:w="419" w:type="pct"/>
                  <w:vAlign w:val="center"/>
                </w:tcPr>
                <w:p w14:paraId="1616E18B">
                  <w:pPr>
                    <w:pStyle w:val="15"/>
                    <w:rPr>
                      <w:rFonts w:hint="default" w:eastAsia="宋体"/>
                      <w:lang w:val="en-US" w:eastAsia="zh-CN"/>
                    </w:rPr>
                  </w:pPr>
                  <w:r>
                    <w:rPr>
                      <w:rFonts w:hint="eastAsia"/>
                      <w:lang w:val="en-US" w:eastAsia="zh-CN"/>
                    </w:rPr>
                    <w:t>27</w:t>
                  </w:r>
                </w:p>
              </w:tc>
              <w:tc>
                <w:tcPr>
                  <w:tcW w:w="653" w:type="pct"/>
                  <w:vAlign w:val="center"/>
                </w:tcPr>
                <w:p w14:paraId="15C1A87D">
                  <w:pPr>
                    <w:pStyle w:val="15"/>
                    <w:rPr>
                      <w:rFonts w:hint="default" w:eastAsia="宋体"/>
                      <w:lang w:val="en-US" w:eastAsia="zh-CN"/>
                    </w:rPr>
                  </w:pPr>
                  <w:r>
                    <w:rPr>
                      <w:rFonts w:hint="eastAsia"/>
                      <w:lang w:val="en-US" w:eastAsia="zh-CN"/>
                    </w:rPr>
                    <w:t>51.4</w:t>
                  </w:r>
                </w:p>
              </w:tc>
              <w:tc>
                <w:tcPr>
                  <w:tcW w:w="325" w:type="pct"/>
                  <w:vMerge w:val="continue"/>
                  <w:vAlign w:val="center"/>
                </w:tcPr>
                <w:p w14:paraId="78421512">
                  <w:pPr>
                    <w:pStyle w:val="15"/>
                  </w:pPr>
                </w:p>
              </w:tc>
              <w:tc>
                <w:tcPr>
                  <w:tcW w:w="609" w:type="pct"/>
                  <w:vMerge w:val="continue"/>
                  <w:vAlign w:val="center"/>
                </w:tcPr>
                <w:p w14:paraId="675C0894">
                  <w:pPr>
                    <w:pStyle w:val="15"/>
                  </w:pPr>
                </w:p>
              </w:tc>
              <w:tc>
                <w:tcPr>
                  <w:tcW w:w="653" w:type="pct"/>
                  <w:vAlign w:val="center"/>
                </w:tcPr>
                <w:p w14:paraId="4FFC6E69">
                  <w:pPr>
                    <w:pStyle w:val="15"/>
                    <w:rPr>
                      <w:rFonts w:hint="default" w:eastAsia="宋体"/>
                      <w:lang w:val="en-US" w:eastAsia="zh-CN"/>
                    </w:rPr>
                  </w:pPr>
                  <w:r>
                    <w:rPr>
                      <w:rFonts w:hint="eastAsia"/>
                      <w:lang w:val="en-US" w:eastAsia="zh-CN"/>
                    </w:rPr>
                    <w:t>26.4</w:t>
                  </w:r>
                </w:p>
              </w:tc>
            </w:tr>
          </w:tbl>
          <w:p w14:paraId="60D8DC38">
            <w:pPr>
              <w:pStyle w:val="15"/>
              <w:jc w:val="left"/>
            </w:pPr>
            <w:r>
              <w:t>注：①采用直角坐标系，以</w:t>
            </w:r>
            <w:r>
              <w:rPr>
                <w:rFonts w:hint="eastAsia"/>
              </w:rPr>
              <w:t>厂区西南角</w:t>
            </w:r>
            <w:r>
              <w:t>为坐标原点（X=0、Y=0、Z=0），</w:t>
            </w:r>
            <w:r>
              <w:rPr>
                <w:rFonts w:hint="eastAsia"/>
              </w:rPr>
              <w:t>东南</w:t>
            </w:r>
            <w:r>
              <w:t>为X轴正向、</w:t>
            </w:r>
            <w:r>
              <w:rPr>
                <w:rFonts w:hint="eastAsia"/>
              </w:rPr>
              <w:t>西</w:t>
            </w:r>
            <w:r>
              <w:t>北为Y轴正向、垂直向上为Z轴正向。</w:t>
            </w:r>
          </w:p>
          <w:p w14:paraId="001D89E1">
            <w:pPr>
              <w:pStyle w:val="15"/>
              <w:jc w:val="left"/>
            </w:pPr>
            <w:r>
              <w:t>②根据建设单位提供资料，项目墙体采用0.20m厚加气混凝土砖、面密度160kg/m</w:t>
            </w:r>
            <w:r>
              <w:rPr>
                <w:vertAlign w:val="superscript"/>
              </w:rPr>
              <w:t>2</w:t>
            </w:r>
            <w:r>
              <w:t>，单层玻璃窗厚度3mm。按照《噪声与振动控制工程手册》（机械工业出版社）相关取值，墙体隔声量取43.2dB（A）、玻璃窗隔声量取26dB（A），以墙体面积500m</w:t>
            </w:r>
            <w:r>
              <w:rPr>
                <w:vertAlign w:val="superscript"/>
              </w:rPr>
              <w:t>2</w:t>
            </w:r>
            <w:r>
              <w:t>、玻璃窗面积20m</w:t>
            </w:r>
            <w:r>
              <w:rPr>
                <w:vertAlign w:val="superscript"/>
              </w:rPr>
              <w:t>2</w:t>
            </w:r>
            <w:r>
              <w:t>估算组合墙体建筑物插入损失38.5dB（A）。根据《噪声控制与建筑声学设备和材料选用手册》（化学工业出版社，吕玉恒等），单层隔声墙体的隔声量25.7~48.7dB(A)，根据本项目厂房墙体情况、考虑其他不利因素，建筑物插入损失按25dB（A）计。通过基础减震降噪措施治理后，噪声值削减5～8dB(A)，本项目采用基础减震降噪措施治理、降声量一般为5~8dB(A)，本环评取5dB（A）。</w:t>
            </w:r>
          </w:p>
          <w:p w14:paraId="0621540A">
            <w:pPr>
              <w:pStyle w:val="16"/>
              <w:ind w:firstLine="482"/>
            </w:pPr>
            <w:r>
              <w:t>3.2 噪声预测</w:t>
            </w:r>
            <w:r>
              <w:rPr>
                <w:rFonts w:hint="eastAsia"/>
              </w:rPr>
              <w:t>模式</w:t>
            </w:r>
          </w:p>
          <w:p w14:paraId="5E91F5B9">
            <w:pPr>
              <w:pStyle w:val="17"/>
              <w:ind w:firstLine="480"/>
            </w:pPr>
            <w:r>
              <w:t>根据《环境影响评价技术导则 声环境》（HJ 2.4-2021），本次环境噪声影响预测模式如下：</w:t>
            </w:r>
          </w:p>
          <w:p w14:paraId="470A6505">
            <w:pPr>
              <w:pStyle w:val="17"/>
              <w:ind w:firstLine="480"/>
            </w:pPr>
            <w:r>
              <w:rPr>
                <w:rFonts w:hint="eastAsia"/>
              </w:rPr>
              <w:t>（1）</w:t>
            </w:r>
            <w:r>
              <w:t>室内声源</w:t>
            </w:r>
          </w:p>
          <w:p w14:paraId="640F49CE">
            <w:pPr>
              <w:pStyle w:val="17"/>
              <w:ind w:firstLine="480"/>
            </w:pPr>
            <w:r>
              <w:t>①首先计算出某个室内声源靠近围护结构处产生的倍频带声压级或A声级：</w:t>
            </w:r>
          </w:p>
          <w:p w14:paraId="23C9E9F1">
            <w:pPr>
              <w:pStyle w:val="17"/>
              <w:ind w:firstLine="480"/>
            </w:pPr>
            <m:oMathPara>
              <m:oMath>
                <m:sSub>
                  <m:sSubPr>
                    <m:ctrlPr>
                      <w:rPr>
                        <w:rFonts w:ascii="Cambria Math" w:hAnsi="Cambria Math"/>
                      </w:rPr>
                    </m:ctrlPr>
                  </m:sSubPr>
                  <m:e>
                    <m:r>
                      <m:rPr/>
                      <w:rPr>
                        <w:rFonts w:ascii="Cambria Math" w:hAnsi="Cambria Math"/>
                      </w:rPr>
                      <m:t>L</m:t>
                    </m:r>
                    <m:ctrlPr>
                      <w:rPr>
                        <w:rFonts w:ascii="Cambria Math" w:hAnsi="Cambria Math"/>
                      </w:rPr>
                    </m:ctrlPr>
                  </m:e>
                  <m:sub>
                    <m:r>
                      <m:rPr/>
                      <w:rPr>
                        <w:rFonts w:ascii="Cambria Math" w:hAnsi="Cambria Math"/>
                      </w:rPr>
                      <m:t>P1</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L</m:t>
                    </m:r>
                    <m:ctrlPr>
                      <w:rPr>
                        <w:rFonts w:ascii="Cambria Math" w:hAnsi="Cambria Math"/>
                      </w:rPr>
                    </m:ctrlPr>
                  </m:e>
                  <m:sub>
                    <m:r>
                      <m:rPr/>
                      <w:rPr>
                        <w:rFonts w:ascii="Cambria Math" w:hAnsi="Cambria Math"/>
                      </w:rPr>
                      <m:t>W</m:t>
                    </m:r>
                    <m:ctrlPr>
                      <w:rPr>
                        <w:rFonts w:ascii="Cambria Math" w:hAnsi="Cambria Math"/>
                      </w:rPr>
                    </m:ctrlPr>
                  </m:sub>
                </m:sSub>
                <m:r>
                  <m:rPr/>
                  <w:rPr>
                    <w:rFonts w:ascii="Cambria Math" w:hAnsi="Cambria Math"/>
                  </w:rPr>
                  <m:t>+</m:t>
                </m:r>
                <m:r>
                  <m:rPr>
                    <m:sty m:val="p"/>
                  </m:rPr>
                  <w:rPr>
                    <w:rFonts w:ascii="Cambria Math" w:hAnsi="Cambria Math"/>
                  </w:rPr>
                  <m:t>10lg</m:t>
                </m:r>
                <m:d>
                  <m:dPr>
                    <m:ctrlPr>
                      <w:rPr>
                        <w:rFonts w:ascii="Cambria Math" w:hAnsi="Cambria Math"/>
                      </w:rPr>
                    </m:ctrlPr>
                  </m:dPr>
                  <m:e>
                    <m:f>
                      <m:fPr>
                        <m:ctrlPr>
                          <w:rPr>
                            <w:rFonts w:ascii="Cambria Math" w:hAnsi="Cambria Math"/>
                            <w:i/>
                          </w:rPr>
                        </m:ctrlPr>
                      </m:fPr>
                      <m:num>
                        <m:r>
                          <m:rPr/>
                          <w:rPr>
                            <w:rFonts w:ascii="Cambria Math" w:hAnsi="Cambria Math"/>
                          </w:rPr>
                          <m:t>Q</m:t>
                        </m:r>
                        <m:ctrlPr>
                          <w:rPr>
                            <w:rFonts w:ascii="Cambria Math" w:hAnsi="Cambria Math"/>
                            <w:i/>
                          </w:rPr>
                        </m:ctrlPr>
                      </m:num>
                      <m:den>
                        <m:r>
                          <m:rPr/>
                          <w:rPr>
                            <w:rFonts w:ascii="Cambria Math" w:hAnsi="Cambria Math"/>
                          </w:rPr>
                          <m:t>4π</m:t>
                        </m:r>
                        <m:sSup>
                          <m:sSupPr>
                            <m:ctrlPr>
                              <w:rPr>
                                <w:rFonts w:ascii="Cambria Math" w:hAnsi="Cambria Math"/>
                                <w:i/>
                              </w:rPr>
                            </m:ctrlPr>
                          </m:sSupPr>
                          <m:e>
                            <m:r>
                              <m:rPr/>
                              <w:rPr>
                                <w:rFonts w:ascii="Cambria Math" w:hAnsi="Cambria Math"/>
                              </w:rPr>
                              <m:t>r</m:t>
                            </m:r>
                            <m:ctrlPr>
                              <w:rPr>
                                <w:rFonts w:ascii="Cambria Math" w:hAnsi="Cambria Math"/>
                                <w:i/>
                              </w:rPr>
                            </m:ctrlPr>
                          </m:e>
                          <m:sup>
                            <m:r>
                              <m:rPr/>
                              <w:rPr>
                                <w:rFonts w:ascii="Cambria Math" w:hAnsi="Cambria Math"/>
                              </w:rPr>
                              <m:t>2</m:t>
                            </m:r>
                            <m:ctrlPr>
                              <w:rPr>
                                <w:rFonts w:ascii="Cambria Math" w:hAnsi="Cambria Math"/>
                                <w:i/>
                              </w:rPr>
                            </m:ctrlPr>
                          </m:sup>
                        </m:sSup>
                        <m:ctrlPr>
                          <w:rPr>
                            <w:rFonts w:ascii="Cambria Math" w:hAnsi="Cambria Math"/>
                            <w:i/>
                          </w:rPr>
                        </m:ctrlPr>
                      </m:den>
                    </m:f>
                    <m:r>
                      <m:rPr/>
                      <w:rPr>
                        <w:rFonts w:ascii="Cambria Math" w:hAnsi="Cambria Math"/>
                      </w:rPr>
                      <m:t>+</m:t>
                    </m:r>
                    <m:f>
                      <m:fPr>
                        <m:ctrlPr>
                          <w:rPr>
                            <w:rFonts w:ascii="Cambria Math" w:hAnsi="Cambria Math"/>
                            <w:i/>
                          </w:rPr>
                        </m:ctrlPr>
                      </m:fPr>
                      <m:num>
                        <m:r>
                          <m:rPr/>
                          <w:rPr>
                            <w:rFonts w:ascii="Cambria Math" w:hAnsi="Cambria Math"/>
                          </w:rPr>
                          <m:t>4</m:t>
                        </m:r>
                        <m:ctrlPr>
                          <w:rPr>
                            <w:rFonts w:ascii="Cambria Math" w:hAnsi="Cambria Math"/>
                            <w:i/>
                          </w:rPr>
                        </m:ctrlPr>
                      </m:num>
                      <m:den>
                        <m:r>
                          <m:rPr/>
                          <w:rPr>
                            <w:rFonts w:ascii="Cambria Math" w:hAnsi="Cambria Math"/>
                          </w:rPr>
                          <m:t>R</m:t>
                        </m:r>
                        <m:ctrlPr>
                          <w:rPr>
                            <w:rFonts w:ascii="Cambria Math" w:hAnsi="Cambria Math"/>
                            <w:i/>
                          </w:rPr>
                        </m:ctrlPr>
                      </m:den>
                    </m:f>
                    <m:ctrlPr>
                      <w:rPr>
                        <w:rFonts w:ascii="Cambria Math" w:hAnsi="Cambria Math"/>
                      </w:rPr>
                    </m:ctrlPr>
                  </m:e>
                </m:d>
              </m:oMath>
            </m:oMathPara>
          </w:p>
          <w:p w14:paraId="60944946">
            <w:pPr>
              <w:pStyle w:val="17"/>
              <w:ind w:firstLine="480"/>
            </w:pPr>
            <w:r>
              <w:t>式中：L</w:t>
            </w:r>
            <w:r>
              <w:rPr>
                <w:vertAlign w:val="subscript"/>
              </w:rPr>
              <w:t>p1</w:t>
            </w:r>
            <w:r>
              <w:t>——靠近开口处（或窗户）室内某倍频带的声压级或A声级，dB；</w:t>
            </w:r>
          </w:p>
          <w:p w14:paraId="23D5D906">
            <w:pPr>
              <w:pStyle w:val="17"/>
              <w:ind w:firstLine="1200" w:firstLineChars="500"/>
            </w:pPr>
            <w:r>
              <w:t>L</w:t>
            </w:r>
            <w:r>
              <w:rPr>
                <w:vertAlign w:val="subscript"/>
              </w:rPr>
              <w:t>W</w:t>
            </w:r>
            <w:r>
              <w:t>——点声源声功率级（A计权或倍频带），dB；</w:t>
            </w:r>
          </w:p>
          <w:p w14:paraId="51B70689">
            <w:pPr>
              <w:pStyle w:val="17"/>
              <w:ind w:firstLine="1200" w:firstLineChars="500"/>
            </w:pPr>
            <w:r>
              <w:t>Q——指向性因数；通常对无指向性声源，当声源放在房间中心时，Q=1；当放在一面墙的中心时，Q=2；当放在两面墙夹角处时，Q=4；当放在三面墙夹角处时，Q=8；</w:t>
            </w:r>
          </w:p>
          <w:p w14:paraId="652D82DA">
            <w:pPr>
              <w:pStyle w:val="17"/>
              <w:ind w:firstLine="960" w:firstLineChars="400"/>
            </w:pPr>
            <w:r>
              <w:t>R——房间常数；R=Sα/（1−α），S为房间内表面面积，m²；α为平均吸声系数；</w:t>
            </w:r>
          </w:p>
          <w:p w14:paraId="66629DAE">
            <w:pPr>
              <w:pStyle w:val="17"/>
              <w:ind w:firstLine="960" w:firstLineChars="400"/>
            </w:pPr>
            <w:r>
              <w:t>r——声源到靠近围护结构某点处的距离，m。</w:t>
            </w:r>
          </w:p>
          <w:p w14:paraId="4AFA7B6B">
            <w:pPr>
              <w:pStyle w:val="17"/>
              <w:ind w:firstLine="480"/>
            </w:pPr>
            <w:r>
              <w:t>②计算出所有室内声源在围护结构处产生的i倍频带叠加声压级：</w:t>
            </w:r>
          </w:p>
          <w:p w14:paraId="4BF0E049">
            <w:pPr>
              <w:pStyle w:val="17"/>
              <w:ind w:firstLine="480"/>
            </w:pPr>
            <m:oMathPara>
              <m:oMath>
                <m:sSub>
                  <m:sSubPr>
                    <m:ctrlPr>
                      <w:rPr>
                        <w:rFonts w:ascii="Cambria Math" w:hAnsi="Cambria Math" w:cs="宋体"/>
                      </w:rPr>
                    </m:ctrlPr>
                  </m:sSubPr>
                  <m:e>
                    <m:r>
                      <m:rPr/>
                      <w:rPr>
                        <w:rFonts w:ascii="Cambria Math" w:hAnsi="Cambria Math" w:cs="宋体"/>
                      </w:rPr>
                      <m:t>L</m:t>
                    </m:r>
                    <m:ctrlPr>
                      <w:rPr>
                        <w:rFonts w:ascii="Cambria Math" w:hAnsi="Cambria Math" w:cs="宋体"/>
                      </w:rPr>
                    </m:ctrlPr>
                  </m:e>
                  <m:sub>
                    <m:r>
                      <m:rPr/>
                      <w:rPr>
                        <w:rFonts w:ascii="Cambria Math" w:hAnsi="Cambria Math" w:cs="宋体"/>
                      </w:rPr>
                      <m:t>P1i</m:t>
                    </m:r>
                    <m:ctrlPr>
                      <w:rPr>
                        <w:rFonts w:ascii="Cambria Math" w:hAnsi="Cambria Math" w:cs="宋体"/>
                      </w:rPr>
                    </m:ctrlPr>
                  </m:sub>
                </m:sSub>
                <m:d>
                  <m:dPr>
                    <m:ctrlPr>
                      <w:rPr>
                        <w:rFonts w:ascii="Cambria Math" w:hAnsi="Cambria Math" w:cs="宋体"/>
                      </w:rPr>
                    </m:ctrlPr>
                  </m:dPr>
                  <m:e>
                    <m:r>
                      <m:rPr/>
                      <w:rPr>
                        <w:rFonts w:ascii="Cambria Math" w:hAnsi="Cambria Math" w:cs="宋体"/>
                      </w:rPr>
                      <m:t>T</m:t>
                    </m:r>
                    <m:ctrlPr>
                      <w:rPr>
                        <w:rFonts w:ascii="Cambria Math" w:hAnsi="Cambria Math" w:cs="宋体"/>
                      </w:rPr>
                    </m:ctrlPr>
                  </m:e>
                </m:d>
                <m:r>
                  <m:rPr/>
                  <w:rPr>
                    <w:rFonts w:ascii="Cambria Math" w:hAnsi="Cambria Math" w:cs="宋体"/>
                  </w:rPr>
                  <m:t>=10lg</m:t>
                </m:r>
                <m:d>
                  <m:dPr>
                    <m:ctrlPr>
                      <w:rPr>
                        <w:rFonts w:ascii="Cambria Math" w:hAnsi="Cambria Math" w:cs="宋体"/>
                        <w:i/>
                      </w:rPr>
                    </m:ctrlPr>
                  </m:dPr>
                  <m:e>
                    <m:nary>
                      <m:naryPr>
                        <m:chr m:val="∑"/>
                        <m:limLoc m:val="undOvr"/>
                        <m:ctrlPr>
                          <w:rPr>
                            <w:rFonts w:ascii="Cambria Math" w:hAnsi="Cambria Math" w:cs="宋体"/>
                            <w:i/>
                          </w:rPr>
                        </m:ctrlPr>
                      </m:naryPr>
                      <m:sub>
                        <m:r>
                          <m:rPr/>
                          <w:rPr>
                            <w:rFonts w:ascii="Cambria Math" w:hAnsi="Cambria Math" w:cs="宋体"/>
                          </w:rPr>
                          <m:t>j=1</m:t>
                        </m:r>
                        <m:ctrlPr>
                          <w:rPr>
                            <w:rFonts w:ascii="Cambria Math" w:hAnsi="Cambria Math" w:cs="宋体"/>
                            <w:i/>
                          </w:rPr>
                        </m:ctrlPr>
                      </m:sub>
                      <m:sup>
                        <m:r>
                          <m:rPr/>
                          <w:rPr>
                            <w:rFonts w:ascii="Cambria Math" w:hAnsi="Cambria Math" w:cs="宋体"/>
                          </w:rPr>
                          <m:t>N</m:t>
                        </m:r>
                        <m:ctrlPr>
                          <w:rPr>
                            <w:rFonts w:ascii="Cambria Math" w:hAnsi="Cambria Math" w:cs="宋体"/>
                            <w:i/>
                          </w:rPr>
                        </m:ctrlPr>
                      </m:sup>
                      <m:e>
                        <m:sSup>
                          <m:sSupPr>
                            <m:ctrlPr>
                              <w:rPr>
                                <w:rFonts w:ascii="Cambria Math" w:hAnsi="Cambria Math" w:cs="宋体"/>
                                <w:i/>
                              </w:rPr>
                            </m:ctrlPr>
                          </m:sSupPr>
                          <m:e>
                            <m:r>
                              <m:rPr/>
                              <w:rPr>
                                <w:rFonts w:ascii="Cambria Math" w:hAnsi="Cambria Math" w:cs="宋体"/>
                              </w:rPr>
                              <m:t>10</m:t>
                            </m:r>
                            <m:ctrlPr>
                              <w:rPr>
                                <w:rFonts w:ascii="Cambria Math" w:hAnsi="Cambria Math" w:cs="宋体"/>
                                <w:i/>
                              </w:rPr>
                            </m:ctrlPr>
                          </m:e>
                          <m:sup>
                            <m:r>
                              <m:rPr/>
                              <w:rPr>
                                <w:rFonts w:ascii="Cambria Math" w:hAnsi="Cambria Math" w:cs="宋体"/>
                              </w:rPr>
                              <m:t>0.1</m:t>
                            </m:r>
                            <m:sSub>
                              <m:sSubPr>
                                <m:ctrlPr>
                                  <w:rPr>
                                    <w:rFonts w:ascii="Cambria Math" w:hAnsi="Cambria Math" w:cs="宋体"/>
                                    <w:i/>
                                  </w:rPr>
                                </m:ctrlPr>
                              </m:sSubPr>
                              <m:e>
                                <m:r>
                                  <m:rPr/>
                                  <w:rPr>
                                    <w:rFonts w:ascii="Cambria Math" w:hAnsi="Cambria Math" w:cs="宋体"/>
                                  </w:rPr>
                                  <m:t>L</m:t>
                                </m:r>
                                <m:ctrlPr>
                                  <w:rPr>
                                    <w:rFonts w:ascii="Cambria Math" w:hAnsi="Cambria Math" w:cs="宋体"/>
                                    <w:i/>
                                  </w:rPr>
                                </m:ctrlPr>
                              </m:e>
                              <m:sub>
                                <m:r>
                                  <m:rPr/>
                                  <w:rPr>
                                    <w:rFonts w:ascii="Cambria Math" w:hAnsi="Cambria Math" w:cs="宋体"/>
                                  </w:rPr>
                                  <m:t>P1ij</m:t>
                                </m:r>
                                <m:ctrlPr>
                                  <w:rPr>
                                    <w:rFonts w:ascii="Cambria Math" w:hAnsi="Cambria Math" w:cs="宋体"/>
                                    <w:i/>
                                  </w:rPr>
                                </m:ctrlPr>
                              </m:sub>
                            </m:sSub>
                            <m:ctrlPr>
                              <w:rPr>
                                <w:rFonts w:ascii="Cambria Math" w:hAnsi="Cambria Math" w:cs="宋体"/>
                                <w:i/>
                              </w:rPr>
                            </m:ctrlPr>
                          </m:sup>
                        </m:sSup>
                        <m:ctrlPr>
                          <w:rPr>
                            <w:rFonts w:ascii="Cambria Math" w:hAnsi="Cambria Math" w:cs="宋体"/>
                            <w:i/>
                          </w:rPr>
                        </m:ctrlPr>
                      </m:e>
                    </m:nary>
                    <m:ctrlPr>
                      <w:rPr>
                        <w:rFonts w:ascii="Cambria Math" w:hAnsi="Cambria Math" w:cs="宋体"/>
                        <w:i/>
                      </w:rPr>
                    </m:ctrlPr>
                  </m:e>
                </m:d>
              </m:oMath>
            </m:oMathPara>
          </w:p>
          <w:p w14:paraId="1B1C5B83">
            <w:pPr>
              <w:pStyle w:val="17"/>
              <w:ind w:firstLine="480"/>
            </w:pPr>
            <w:r>
              <w:t>式中：L</w:t>
            </w:r>
            <w:r>
              <w:rPr>
                <w:vertAlign w:val="subscript"/>
              </w:rPr>
              <w:t>P1i</w:t>
            </w:r>
            <w:r>
              <w:t>（T）——靠近围护结构处室内N个声源i倍频带的叠加声压级，dB；</w:t>
            </w:r>
          </w:p>
          <w:p w14:paraId="16D2023D">
            <w:pPr>
              <w:pStyle w:val="17"/>
              <w:ind w:firstLine="960" w:firstLineChars="400"/>
            </w:pPr>
            <w:r>
              <w:t>L</w:t>
            </w:r>
            <w:r>
              <w:rPr>
                <w:vertAlign w:val="subscript"/>
              </w:rPr>
              <w:t>P1ij</w:t>
            </w:r>
            <w:r>
              <w:t>（T）——室内j声源i倍频带的声压级，dB；</w:t>
            </w:r>
          </w:p>
          <w:p w14:paraId="2514F4FB">
            <w:pPr>
              <w:pStyle w:val="17"/>
              <w:ind w:firstLine="960" w:firstLineChars="400"/>
            </w:pPr>
            <w:r>
              <w:t>N——室内声源总数。</w:t>
            </w:r>
          </w:p>
          <w:p w14:paraId="3126861C">
            <w:pPr>
              <w:pStyle w:val="17"/>
              <w:ind w:firstLine="480"/>
            </w:pPr>
            <w:r>
              <w:t>③计算室外靠近围护结构处产生的声压级：</w:t>
            </w:r>
          </w:p>
          <w:p w14:paraId="5E763881">
            <w:pPr>
              <w:pStyle w:val="17"/>
              <w:ind w:firstLine="480"/>
            </w:pPr>
            <m:oMathPara>
              <m:oMath>
                <m:sSub>
                  <m:sSubPr>
                    <m:ctrlPr>
                      <w:rPr>
                        <w:rFonts w:ascii="Cambria Math" w:hAnsi="Cambria Math" w:cs="宋体"/>
                      </w:rPr>
                    </m:ctrlPr>
                  </m:sSubPr>
                  <m:e>
                    <m:r>
                      <m:rPr/>
                      <w:rPr>
                        <w:rFonts w:ascii="Cambria Math" w:hAnsi="Cambria Math" w:cs="宋体"/>
                      </w:rPr>
                      <m:t>L</m:t>
                    </m:r>
                    <m:ctrlPr>
                      <w:rPr>
                        <w:rFonts w:ascii="Cambria Math" w:hAnsi="Cambria Math" w:cs="宋体"/>
                      </w:rPr>
                    </m:ctrlPr>
                  </m:e>
                  <m:sub>
                    <m:r>
                      <m:rPr/>
                      <w:rPr>
                        <w:rFonts w:ascii="Cambria Math" w:hAnsi="Cambria Math" w:cs="宋体"/>
                      </w:rPr>
                      <m:t>P2i</m:t>
                    </m:r>
                    <m:ctrlPr>
                      <w:rPr>
                        <w:rFonts w:ascii="Cambria Math" w:hAnsi="Cambria Math" w:cs="宋体"/>
                      </w:rPr>
                    </m:ctrlPr>
                  </m:sub>
                </m:sSub>
                <m:d>
                  <m:dPr>
                    <m:ctrlPr>
                      <w:rPr>
                        <w:rFonts w:ascii="Cambria Math" w:hAnsi="Cambria Math" w:cs="宋体"/>
                      </w:rPr>
                    </m:ctrlPr>
                  </m:dPr>
                  <m:e>
                    <m:r>
                      <m:rPr/>
                      <w:rPr>
                        <w:rFonts w:ascii="Cambria Math" w:hAnsi="Cambria Math" w:cs="宋体"/>
                      </w:rPr>
                      <m:t>T</m:t>
                    </m:r>
                    <m:ctrlPr>
                      <w:rPr>
                        <w:rFonts w:ascii="Cambria Math" w:hAnsi="Cambria Math" w:cs="宋体"/>
                      </w:rPr>
                    </m:ctrlPr>
                  </m:e>
                </m:d>
                <m:r>
                  <m:rPr/>
                  <w:rPr>
                    <w:rFonts w:ascii="Cambria Math" w:hAnsi="Cambria Math" w:cs="宋体"/>
                  </w:rPr>
                  <m:t>=</m:t>
                </m:r>
                <m:sSub>
                  <m:sSubPr>
                    <m:ctrlPr>
                      <w:rPr>
                        <w:rFonts w:ascii="Cambria Math" w:hAnsi="Cambria Math" w:cs="宋体"/>
                      </w:rPr>
                    </m:ctrlPr>
                  </m:sSubPr>
                  <m:e>
                    <m:r>
                      <m:rPr/>
                      <w:rPr>
                        <w:rFonts w:ascii="Cambria Math" w:hAnsi="Cambria Math" w:cs="宋体"/>
                      </w:rPr>
                      <m:t>L</m:t>
                    </m:r>
                    <m:ctrlPr>
                      <w:rPr>
                        <w:rFonts w:ascii="Cambria Math" w:hAnsi="Cambria Math" w:cs="宋体"/>
                      </w:rPr>
                    </m:ctrlPr>
                  </m:e>
                  <m:sub>
                    <m:r>
                      <m:rPr/>
                      <w:rPr>
                        <w:rFonts w:ascii="Cambria Math" w:hAnsi="Cambria Math" w:cs="宋体"/>
                      </w:rPr>
                      <m:t>P1i</m:t>
                    </m:r>
                    <m:ctrlPr>
                      <w:rPr>
                        <w:rFonts w:ascii="Cambria Math" w:hAnsi="Cambria Math" w:cs="宋体"/>
                      </w:rPr>
                    </m:ctrlPr>
                  </m:sub>
                </m:sSub>
                <m:d>
                  <m:dPr>
                    <m:ctrlPr>
                      <w:rPr>
                        <w:rFonts w:ascii="Cambria Math" w:hAnsi="Cambria Math" w:cs="宋体"/>
                      </w:rPr>
                    </m:ctrlPr>
                  </m:dPr>
                  <m:e>
                    <m:r>
                      <m:rPr/>
                      <w:rPr>
                        <w:rFonts w:ascii="Cambria Math" w:hAnsi="Cambria Math" w:cs="宋体"/>
                      </w:rPr>
                      <m:t>T</m:t>
                    </m:r>
                    <m:ctrlPr>
                      <w:rPr>
                        <w:rFonts w:ascii="Cambria Math" w:hAnsi="Cambria Math" w:cs="宋体"/>
                      </w:rPr>
                    </m:ctrlPr>
                  </m:e>
                </m:d>
                <m:r>
                  <m:rPr/>
                  <w:rPr>
                    <w:rFonts w:ascii="Cambria Math" w:hAnsi="Cambria Math" w:cs="宋体"/>
                  </w:rPr>
                  <m:t>−</m:t>
                </m:r>
                <m:d>
                  <m:dPr>
                    <m:ctrlPr>
                      <w:rPr>
                        <w:rFonts w:ascii="Cambria Math" w:hAnsi="Cambria Math" w:cs="宋体"/>
                      </w:rPr>
                    </m:ctrlPr>
                  </m:dPr>
                  <m:e>
                    <m:r>
                      <m:rPr/>
                      <w:rPr>
                        <w:rFonts w:ascii="Cambria Math" w:hAnsi="Cambria Math" w:cs="宋体"/>
                      </w:rPr>
                      <m:t>T</m:t>
                    </m:r>
                    <m:sSub>
                      <m:sSubPr>
                        <m:ctrlPr>
                          <w:rPr>
                            <w:rFonts w:ascii="Cambria Math" w:hAnsi="Cambria Math" w:cs="宋体"/>
                            <w:i/>
                          </w:rPr>
                        </m:ctrlPr>
                      </m:sSubPr>
                      <m:e>
                        <m:r>
                          <m:rPr/>
                          <w:rPr>
                            <w:rFonts w:ascii="Cambria Math" w:hAnsi="Cambria Math" w:cs="宋体"/>
                          </w:rPr>
                          <m:t>L</m:t>
                        </m:r>
                        <m:ctrlPr>
                          <w:rPr>
                            <w:rFonts w:ascii="Cambria Math" w:hAnsi="Cambria Math" w:cs="宋体"/>
                            <w:i/>
                          </w:rPr>
                        </m:ctrlPr>
                      </m:e>
                      <m:sub>
                        <m:r>
                          <m:rPr/>
                          <w:rPr>
                            <w:rFonts w:ascii="Cambria Math" w:hAnsi="Cambria Math" w:cs="宋体"/>
                          </w:rPr>
                          <m:t>i</m:t>
                        </m:r>
                        <m:ctrlPr>
                          <w:rPr>
                            <w:rFonts w:ascii="Cambria Math" w:hAnsi="Cambria Math" w:cs="宋体"/>
                            <w:i/>
                          </w:rPr>
                        </m:ctrlPr>
                      </m:sub>
                    </m:sSub>
                    <m:r>
                      <m:rPr/>
                      <w:rPr>
                        <w:rFonts w:ascii="Cambria Math" w:hAnsi="Cambria Math" w:cs="宋体"/>
                      </w:rPr>
                      <m:t>+6</m:t>
                    </m:r>
                    <m:ctrlPr>
                      <w:rPr>
                        <w:rFonts w:ascii="Cambria Math" w:hAnsi="Cambria Math" w:cs="宋体"/>
                      </w:rPr>
                    </m:ctrlPr>
                  </m:e>
                </m:d>
              </m:oMath>
            </m:oMathPara>
          </w:p>
          <w:p w14:paraId="435C84FE">
            <w:pPr>
              <w:pStyle w:val="17"/>
              <w:ind w:firstLine="480"/>
            </w:pPr>
            <w:r>
              <w:t>式中：L</w:t>
            </w:r>
            <w:r>
              <w:rPr>
                <w:vertAlign w:val="subscript"/>
              </w:rPr>
              <w:t>P2i</w:t>
            </w:r>
            <w:r>
              <w:t>（T）——靠近围护结构处室外N个声源i倍频带的叠加声压级，dB；</w:t>
            </w:r>
          </w:p>
          <w:p w14:paraId="1520F498">
            <w:pPr>
              <w:pStyle w:val="17"/>
              <w:ind w:firstLine="960" w:firstLineChars="400"/>
            </w:pPr>
            <w:r>
              <w:t>L</w:t>
            </w:r>
            <w:r>
              <w:rPr>
                <w:vertAlign w:val="subscript"/>
              </w:rPr>
              <w:t>P1i</w:t>
            </w:r>
            <w:r>
              <w:t>（T）——靠近围护结构处室内N个声源i倍频带的叠加声压级，dB；</w:t>
            </w:r>
          </w:p>
          <w:p w14:paraId="2231E442">
            <w:pPr>
              <w:pStyle w:val="17"/>
              <w:ind w:firstLine="960" w:firstLineChars="400"/>
            </w:pPr>
            <w:r>
              <w:t>TL</w:t>
            </w:r>
            <w:r>
              <w:rPr>
                <w:vertAlign w:val="subscript"/>
              </w:rPr>
              <w:t>i</w:t>
            </w:r>
            <w:r>
              <w:t>——围护结构i倍频带的隔声量，dB。</w:t>
            </w:r>
          </w:p>
          <w:p w14:paraId="465267C4">
            <w:pPr>
              <w:pStyle w:val="17"/>
              <w:ind w:firstLine="480"/>
            </w:pPr>
            <w:r>
              <w:rPr>
                <w:rFonts w:hint="eastAsia"/>
              </w:rPr>
              <w:t>（2）</w:t>
            </w:r>
            <w:r>
              <w:t>户外声传播衰减</w:t>
            </w:r>
          </w:p>
          <w:p w14:paraId="3DF5F33D">
            <w:pPr>
              <w:pStyle w:val="17"/>
              <w:ind w:firstLine="480"/>
            </w:pPr>
            <w:r>
              <w:t>户外声传播衰减包括几何发散（Adiv）、大气吸收（Aatm）、地面效应（Agr）、屏障屏蔽（Abar）、其他多方面效应（Amisc）引起的衰减。</w:t>
            </w:r>
          </w:p>
          <w:p w14:paraId="5EAD17DE">
            <w:pPr>
              <w:pStyle w:val="17"/>
              <w:ind w:firstLine="480"/>
            </w:pPr>
            <w:r>
              <w:t>①根据《环境影响评价技术导则 声环境》（HJ2.4-2021），噪声预测计算的基本公式为：</w:t>
            </w:r>
          </w:p>
          <w:p w14:paraId="0CC486FD">
            <w:pPr>
              <w:pStyle w:val="17"/>
              <w:ind w:firstLine="1200" w:firstLineChars="500"/>
            </w:pPr>
            <w:r>
              <w:t>Lp（r）=Lp（r0）+Dc-（Adiv+Aatm+Agr+Abar+Amisc）</w:t>
            </w:r>
          </w:p>
          <w:p w14:paraId="322204AF">
            <w:pPr>
              <w:pStyle w:val="17"/>
              <w:ind w:firstLine="480"/>
            </w:pPr>
            <w:r>
              <w:t>式中：Lp（r）——预测点处声压级，dB；</w:t>
            </w:r>
          </w:p>
          <w:p w14:paraId="65DAF99C">
            <w:pPr>
              <w:pStyle w:val="17"/>
              <w:ind w:firstLine="1200" w:firstLineChars="500"/>
            </w:pPr>
            <w:r>
              <w:t>Lp（r0）——参考位置r0处的声压级，dB；</w:t>
            </w:r>
          </w:p>
          <w:p w14:paraId="649103B6">
            <w:pPr>
              <w:pStyle w:val="17"/>
              <w:ind w:firstLine="1200" w:firstLineChars="500"/>
            </w:pPr>
            <w:r>
              <w:t>Dc——指向性校正，它描述点声源的等效连续声压级与产生声功率级Lw的全向点声源在规定方向的声级偏差程度，dB；</w:t>
            </w:r>
          </w:p>
          <w:p w14:paraId="69C71F63">
            <w:pPr>
              <w:pStyle w:val="17"/>
              <w:ind w:firstLine="1200" w:firstLineChars="500"/>
            </w:pPr>
            <w:r>
              <w:t>Adiv——几何发散引起的衰减，dB；</w:t>
            </w:r>
          </w:p>
          <w:p w14:paraId="4BF5E2E9">
            <w:pPr>
              <w:pStyle w:val="17"/>
              <w:ind w:firstLine="1200" w:firstLineChars="500"/>
            </w:pPr>
            <w:r>
              <w:t>Aatm——大气吸收引起的衰减，dB；</w:t>
            </w:r>
          </w:p>
          <w:p w14:paraId="33564A3D">
            <w:pPr>
              <w:pStyle w:val="17"/>
              <w:ind w:firstLine="1200" w:firstLineChars="500"/>
            </w:pPr>
            <w:r>
              <w:t>Agr——地面效应引起的衰减，dB；</w:t>
            </w:r>
          </w:p>
          <w:p w14:paraId="4C032E07">
            <w:pPr>
              <w:pStyle w:val="17"/>
              <w:ind w:firstLine="1200" w:firstLineChars="500"/>
            </w:pPr>
            <w:r>
              <w:t>Abar——障碍物屏蔽引起的衰减，dB；</w:t>
            </w:r>
          </w:p>
          <w:p w14:paraId="23BE2AB2">
            <w:pPr>
              <w:pStyle w:val="17"/>
              <w:ind w:firstLine="1200" w:firstLineChars="500"/>
            </w:pPr>
            <w:r>
              <w:t>Amisc——其他多方面效应引起的衰减，dB。</w:t>
            </w:r>
          </w:p>
          <w:p w14:paraId="3B5D7836">
            <w:pPr>
              <w:pStyle w:val="17"/>
              <w:ind w:firstLine="480"/>
            </w:pPr>
            <w:r>
              <w:t>②预测点的A声级L</w:t>
            </w:r>
            <w:r>
              <w:rPr>
                <w:vertAlign w:val="subscript"/>
              </w:rPr>
              <w:t>A</w:t>
            </w:r>
            <w:r>
              <w:t>(r)可按下式计算，即将8个倍频带声压级合成，计算出预测点的声级[L</w:t>
            </w:r>
            <w:r>
              <w:rPr>
                <w:vertAlign w:val="subscript"/>
              </w:rPr>
              <w:t>A</w:t>
            </w:r>
            <w:r>
              <w:t>(r)]。</w:t>
            </w:r>
          </w:p>
          <w:p w14:paraId="52A82331">
            <w:pPr>
              <w:pStyle w:val="17"/>
              <w:ind w:firstLine="480"/>
            </w:pPr>
            <m:oMathPara>
              <m:oMath>
                <m:sSub>
                  <m:sSubPr>
                    <m:ctrlPr>
                      <w:rPr>
                        <w:rFonts w:ascii="Cambria Math" w:hAnsi="Cambria Math"/>
                      </w:rPr>
                    </m:ctrlPr>
                  </m:sSubPr>
                  <m:e>
                    <m:r>
                      <m:rPr/>
                      <w:rPr>
                        <w:rFonts w:ascii="Cambria Math" w:hAnsi="Cambria Math"/>
                      </w:rPr>
                      <m:t>L</m:t>
                    </m:r>
                    <m:ctrlPr>
                      <w:rPr>
                        <w:rFonts w:ascii="Cambria Math" w:hAnsi="Cambria Math"/>
                      </w:rPr>
                    </m:ctrlPr>
                  </m:e>
                  <m:sub>
                    <m:r>
                      <m:rPr/>
                      <w:rPr>
                        <w:rFonts w:ascii="Cambria Math" w:hAnsi="Cambria Math"/>
                      </w:rPr>
                      <m:t>A</m:t>
                    </m:r>
                    <m:ctrlPr>
                      <w:rPr>
                        <w:rFonts w:ascii="Cambria Math" w:hAnsi="Cambria Math"/>
                      </w:rPr>
                    </m:ctrlPr>
                  </m:sub>
                </m:sSub>
                <m:r>
                  <m:rPr/>
                  <w:rPr>
                    <w:rFonts w:ascii="Cambria Math" w:hAnsi="Cambria Math"/>
                  </w:rPr>
                  <m:t>(r)=10lg</m:t>
                </m:r>
                <m:d>
                  <m:dPr>
                    <m:begChr m:val="{"/>
                    <m:endChr m:val="}"/>
                    <m:ctrlPr>
                      <w:rPr>
                        <w:rFonts w:ascii="Cambria Math" w:hAnsi="Cambria Math"/>
                        <w:i/>
                      </w:rPr>
                    </m:ctrlPr>
                  </m:dPr>
                  <m:e>
                    <m:sSup>
                      <m:sSupPr>
                        <m:ctrlPr>
                          <w:rPr>
                            <w:rFonts w:ascii="Cambria Math" w:hAnsi="Cambria Math"/>
                            <w:i/>
                          </w:rPr>
                        </m:ctrlPr>
                      </m:sSupPr>
                      <m:e>
                        <m:r>
                          <m:rPr/>
                          <w:rPr>
                            <w:rFonts w:ascii="Cambria Math" w:hAnsi="Cambria Math"/>
                          </w:rPr>
                          <m:t>10</m:t>
                        </m:r>
                        <m:ctrlPr>
                          <w:rPr>
                            <w:rFonts w:ascii="Cambria Math" w:hAnsi="Cambria Math"/>
                            <w:i/>
                          </w:rPr>
                        </m:ctrlPr>
                      </m:e>
                      <m:sup>
                        <m:r>
                          <m:rPr/>
                          <w:rPr>
                            <w:rFonts w:ascii="Cambria Math" w:hAnsi="Cambria Math"/>
                          </w:rPr>
                          <m:t>0.1</m:t>
                        </m:r>
                        <m:d>
                          <m:dPr>
                            <m:begChr m:val="["/>
                            <m:endChr m:val="]"/>
                            <m:ctrlPr>
                              <w:rPr>
                                <w:rFonts w:ascii="Cambria Math" w:hAnsi="Cambria Math"/>
                                <w:i/>
                              </w:rPr>
                            </m:ctrlPr>
                          </m:dPr>
                          <m:e>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pi</m:t>
                                </m:r>
                                <m:ctrlPr>
                                  <w:rPr>
                                    <w:rFonts w:ascii="Cambria Math" w:hAnsi="Cambria Math"/>
                                    <w:i/>
                                  </w:rPr>
                                </m:ctrlPr>
                              </m:sub>
                            </m:sSub>
                            <m:d>
                              <m:dPr>
                                <m:ctrlPr>
                                  <w:rPr>
                                    <w:rFonts w:ascii="Cambria Math" w:hAnsi="Cambria Math"/>
                                    <w:i/>
                                  </w:rPr>
                                </m:ctrlPr>
                              </m:dPr>
                              <m:e>
                                <m:r>
                                  <m:rPr/>
                                  <w:rPr>
                                    <w:rFonts w:ascii="Cambria Math" w:hAnsi="Cambria Math"/>
                                  </w:rPr>
                                  <m:t>r</m:t>
                                </m:r>
                                <m:ctrlPr>
                                  <w:rPr>
                                    <w:rFonts w:ascii="Cambria Math" w:hAnsi="Cambria Math"/>
                                    <w:i/>
                                  </w:rPr>
                                </m:ctrlPr>
                              </m:e>
                            </m:d>
                            <m:r>
                              <m:rPr/>
                              <w:rPr>
                                <w:rFonts w:ascii="Cambria Math" w:hAnsi="Cambria Math"/>
                              </w:rPr>
                              <m:t>−∆</m:t>
                            </m:r>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e>
                        </m:d>
                        <m:ctrlPr>
                          <w:rPr>
                            <w:rFonts w:ascii="Cambria Math" w:hAnsi="Cambria Math"/>
                            <w:i/>
                          </w:rPr>
                        </m:ctrlPr>
                      </m:sup>
                    </m:sSup>
                    <m:ctrlPr>
                      <w:rPr>
                        <w:rFonts w:ascii="Cambria Math" w:hAnsi="Cambria Math"/>
                        <w:i/>
                      </w:rPr>
                    </m:ctrlPr>
                  </m:e>
                </m:d>
              </m:oMath>
            </m:oMathPara>
          </w:p>
          <w:p w14:paraId="555DFB94">
            <w:pPr>
              <w:pStyle w:val="17"/>
              <w:ind w:firstLine="480"/>
            </w:pPr>
            <w:r>
              <w:t>式中：L</w:t>
            </w:r>
            <w:r>
              <w:rPr>
                <w:vertAlign w:val="subscript"/>
              </w:rPr>
              <w:t>A</w:t>
            </w:r>
            <w:r>
              <w:t>（r）——距声源r处的A声级，dB(A)；</w:t>
            </w:r>
          </w:p>
          <w:p w14:paraId="1D6A5F74">
            <w:pPr>
              <w:pStyle w:val="17"/>
              <w:ind w:firstLine="1200" w:firstLineChars="500"/>
            </w:pPr>
            <w:r>
              <w:t>L</w:t>
            </w:r>
            <w:r>
              <w:rPr>
                <w:vertAlign w:val="subscript"/>
              </w:rPr>
              <w:t>pi</w:t>
            </w:r>
            <w:r>
              <w:t>（r）——预测点(r)处，第i倍频带声压级，dB；</w:t>
            </w:r>
          </w:p>
          <w:p w14:paraId="4FD0B5CF">
            <w:pPr>
              <w:pStyle w:val="17"/>
              <w:ind w:firstLine="1200" w:firstLineChars="500"/>
            </w:pPr>
            <w:r>
              <w:t>△L</w:t>
            </w:r>
            <w:r>
              <w:rPr>
                <w:vertAlign w:val="subscript"/>
              </w:rPr>
              <w:t>i</w:t>
            </w:r>
            <w:r>
              <w:t>——第i倍频带的A计权网络修正值，dB；</w:t>
            </w:r>
          </w:p>
          <w:p w14:paraId="2A592BE7">
            <w:pPr>
              <w:pStyle w:val="17"/>
              <w:ind w:firstLineChars="300"/>
            </w:pPr>
            <w:r>
              <w:t>③点声源的几何发散衰减的基本公式为：</w:t>
            </w:r>
          </w:p>
          <w:p w14:paraId="39FB162A">
            <w:pPr>
              <w:pStyle w:val="17"/>
              <w:ind w:firstLine="480"/>
            </w:pPr>
            <m:oMathPara>
              <m:oMath>
                <m:sSub>
                  <m:sSubPr>
                    <m:ctrlPr>
                      <w:rPr>
                        <w:rFonts w:ascii="Cambria Math" w:hAnsi="Cambria Math"/>
                      </w:rPr>
                    </m:ctrlPr>
                  </m:sSubPr>
                  <m:e>
                    <m:r>
                      <m:rPr>
                        <m:sty m:val="p"/>
                      </m:rPr>
                      <w:rPr>
                        <w:rFonts w:ascii="Cambria Math" w:hAnsi="Cambria Math"/>
                      </w:rPr>
                      <m:t>L</m:t>
                    </m:r>
                    <m:ctrlPr>
                      <w:rPr>
                        <w:rFonts w:ascii="Cambria Math" w:hAnsi="Cambria Math"/>
                      </w:rPr>
                    </m:ctrlPr>
                  </m:e>
                  <m:sub>
                    <m:r>
                      <m:rPr/>
                      <w:rPr>
                        <w:rFonts w:ascii="Cambria Math" w:hAnsi="Cambria Math"/>
                      </w:rPr>
                      <m:t>p</m:t>
                    </m:r>
                    <m:ctrlPr>
                      <w:rPr>
                        <w:rFonts w:ascii="Cambria Math" w:hAnsi="Cambria Math"/>
                      </w:rPr>
                    </m:ctrlPr>
                  </m:sub>
                </m:sSub>
                <m:r>
                  <m:rPr>
                    <m:sty m:val="p"/>
                  </m:rPr>
                  <w:rPr>
                    <w:rFonts w:ascii="Cambria Math" w:hAnsi="Cambria Math"/>
                  </w:rPr>
                  <m:t>(r)＝</m:t>
                </m:r>
                <m:sSub>
                  <m:sSubPr>
                    <m:ctrlPr>
                      <w:rPr>
                        <w:rFonts w:ascii="Cambria Math" w:hAnsi="Cambria Math"/>
                      </w:rPr>
                    </m:ctrlPr>
                  </m:sSubPr>
                  <m:e>
                    <m:r>
                      <m:rPr>
                        <m:sty m:val="p"/>
                      </m:rPr>
                      <w:rPr>
                        <w:rFonts w:ascii="Cambria Math" w:hAnsi="Cambria Math"/>
                      </w:rPr>
                      <m:t>L</m:t>
                    </m:r>
                    <m:ctrlPr>
                      <w:rPr>
                        <w:rFonts w:ascii="Cambria Math" w:hAnsi="Cambria Math"/>
                      </w:rPr>
                    </m:ctrlPr>
                  </m:e>
                  <m:sub>
                    <m:r>
                      <m:rPr/>
                      <w:rPr>
                        <w:rFonts w:ascii="Cambria Math" w:hAnsi="Cambria Math"/>
                      </w:rPr>
                      <m:t>p</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ctrlPr>
                      <w:rPr>
                        <w:rFonts w:ascii="Cambria Math" w:hAnsi="Cambria Math"/>
                      </w:rPr>
                    </m:ctrlPr>
                  </m:e>
                  <m:sub>
                    <m:r>
                      <m:rPr>
                        <m:sty m:val="p"/>
                      </m:rPr>
                      <w:rPr>
                        <w:rFonts w:ascii="Cambria Math" w:hAnsi="Cambria Math"/>
                      </w:rPr>
                      <m:t>0</m:t>
                    </m:r>
                    <m:ctrlPr>
                      <w:rPr>
                        <w:rFonts w:ascii="Cambria Math" w:hAnsi="Cambria Math"/>
                      </w:rPr>
                    </m:ctrlPr>
                  </m:sub>
                </m:sSub>
                <m:r>
                  <m:rPr>
                    <m:sty m:val="p"/>
                  </m:rPr>
                  <w:rPr>
                    <w:rFonts w:ascii="Cambria Math" w:hAnsi="Cambria Math"/>
                  </w:rPr>
                  <m:t>)−20</m:t>
                </m:r>
                <m:func>
                  <m:funcPr>
                    <m:ctrlPr>
                      <w:rPr>
                        <w:rFonts w:ascii="Cambria Math" w:hAnsi="Cambria Math"/>
                      </w:rPr>
                    </m:ctrlPr>
                  </m:funcPr>
                  <m:fName>
                    <m:r>
                      <m:rPr>
                        <m:sty m:val="p"/>
                      </m:rPr>
                      <w:rPr>
                        <w:rFonts w:ascii="Cambria Math" w:hAnsi="Cambria Math"/>
                      </w:rPr>
                      <m:t>log</m:t>
                    </m:r>
                    <m:ctrlPr>
                      <w:rPr>
                        <w:rFonts w:ascii="Cambria Math" w:hAnsi="Cambria Math"/>
                      </w:rPr>
                    </m:ctrlPr>
                  </m:fName>
                  <m:e>
                    <m:d>
                      <m:dPr>
                        <m:ctrlPr>
                          <w:rPr>
                            <w:rFonts w:ascii="Cambria Math" w:hAnsi="Cambria Math"/>
                          </w:rPr>
                        </m:ctrlPr>
                      </m:dPr>
                      <m:e>
                        <m:f>
                          <m:fPr>
                            <m:type m:val="skw"/>
                            <m:ctrlPr>
                              <w:rPr>
                                <w:rFonts w:ascii="Cambria Math" w:hAnsi="Cambria Math"/>
                              </w:rPr>
                            </m:ctrlPr>
                          </m:fPr>
                          <m:num>
                            <m:r>
                              <m:rPr>
                                <m:sty m:val="p"/>
                              </m:rPr>
                              <w:rPr>
                                <w:rFonts w:ascii="Cambria Math" w:hAnsi="Cambria Math"/>
                              </w:rPr>
                              <m:t>r</m:t>
                            </m:r>
                            <m:ctrlPr>
                              <w:rPr>
                                <w:rFonts w:ascii="Cambria Math" w:hAnsi="Cambria Math"/>
                              </w:rPr>
                            </m:ctrlPr>
                          </m:num>
                          <m:den>
                            <m:sSub>
                              <m:sSubPr>
                                <m:ctrlPr>
                                  <w:rPr>
                                    <w:rFonts w:ascii="Cambria Math" w:hAnsi="Cambria Math"/>
                                  </w:rPr>
                                </m:ctrlPr>
                              </m:sSubPr>
                              <m:e>
                                <m:r>
                                  <m:rPr>
                                    <m:sty m:val="p"/>
                                  </m:rPr>
                                  <w:rPr>
                                    <w:rFonts w:ascii="Cambria Math" w:hAnsi="Cambria Math"/>
                                  </w:rPr>
                                  <m:t>r</m:t>
                                </m:r>
                                <m:ctrlPr>
                                  <w:rPr>
                                    <w:rFonts w:ascii="Cambria Math" w:hAnsi="Cambria Math"/>
                                  </w:rPr>
                                </m:ctrlPr>
                              </m:e>
                              <m:sub>
                                <m:r>
                                  <m:rPr>
                                    <m:sty m:val="p"/>
                                  </m:rPr>
                                  <w:rPr>
                                    <w:rFonts w:ascii="Cambria Math" w:hAnsi="Cambria Math"/>
                                  </w:rPr>
                                  <m:t>0</m:t>
                                </m:r>
                                <m:ctrlPr>
                                  <w:rPr>
                                    <w:rFonts w:ascii="Cambria Math" w:hAnsi="Cambria Math"/>
                                  </w:rPr>
                                </m:ctrlPr>
                              </m:sub>
                            </m:sSub>
                            <m:ctrlPr>
                              <w:rPr>
                                <w:rFonts w:ascii="Cambria Math" w:hAnsi="Cambria Math"/>
                              </w:rPr>
                            </m:ctrlPr>
                          </m:den>
                        </m:f>
                        <m:ctrlPr>
                          <w:rPr>
                            <w:rFonts w:ascii="Cambria Math" w:hAnsi="Cambria Math"/>
                          </w:rPr>
                        </m:ctrlPr>
                      </m:e>
                    </m:d>
                    <m:ctrlPr>
                      <w:rPr>
                        <w:rFonts w:ascii="Cambria Math" w:hAnsi="Cambria Math"/>
                      </w:rPr>
                    </m:ctrlPr>
                  </m:e>
                </m:func>
              </m:oMath>
            </m:oMathPara>
          </w:p>
          <w:p w14:paraId="0ED248C5">
            <w:pPr>
              <w:pStyle w:val="17"/>
              <w:ind w:firstLine="480"/>
            </w:pPr>
            <w:r>
              <w:t>式中：L</w:t>
            </w:r>
            <w:r>
              <w:rPr>
                <w:vertAlign w:val="subscript"/>
              </w:rPr>
              <w:t>p</w:t>
            </w:r>
            <w:r>
              <w:t>（r）——预测点处声压级，dB；</w:t>
            </w:r>
          </w:p>
          <w:p w14:paraId="0A1C1F49">
            <w:pPr>
              <w:pStyle w:val="17"/>
              <w:ind w:firstLine="1200" w:firstLineChars="500"/>
            </w:pPr>
            <w:r>
              <w:t>L</w:t>
            </w:r>
            <w:r>
              <w:rPr>
                <w:vertAlign w:val="subscript"/>
              </w:rPr>
              <w:t>p</w:t>
            </w:r>
            <w:r>
              <w:t>（r</w:t>
            </w:r>
            <w:r>
              <w:rPr>
                <w:vertAlign w:val="subscript"/>
              </w:rPr>
              <w:t>0</w:t>
            </w:r>
            <w:r>
              <w:t>）——参考位置r</w:t>
            </w:r>
            <w:r>
              <w:rPr>
                <w:vertAlign w:val="subscript"/>
              </w:rPr>
              <w:t>0</w:t>
            </w:r>
            <w:r>
              <w:t>处的声压级，dB；</w:t>
            </w:r>
          </w:p>
          <w:p w14:paraId="177AD3DD">
            <w:pPr>
              <w:pStyle w:val="17"/>
              <w:ind w:firstLine="1200" w:firstLineChars="500"/>
            </w:pPr>
            <w:r>
              <w:t>r——预测点距声源的距离；</w:t>
            </w:r>
          </w:p>
          <w:p w14:paraId="7AFA4EEB">
            <w:pPr>
              <w:pStyle w:val="17"/>
              <w:ind w:firstLine="1200" w:firstLineChars="500"/>
            </w:pPr>
            <w:r>
              <w:t>r</w:t>
            </w:r>
            <w:r>
              <w:rPr>
                <w:vertAlign w:val="subscript"/>
              </w:rPr>
              <w:t>0</w:t>
            </w:r>
            <w:r>
              <w:t>——参考位置距声源的距离。</w:t>
            </w:r>
          </w:p>
          <w:p w14:paraId="6A01D1D1">
            <w:pPr>
              <w:pStyle w:val="17"/>
              <w:ind w:firstLine="480"/>
            </w:pPr>
            <w:r>
              <w:t>④建设项目声源在预测点产生的等效声级贡献值（L</w:t>
            </w:r>
            <w:r>
              <w:rPr>
                <w:vertAlign w:val="subscript"/>
              </w:rPr>
              <w:t>eqg</w:t>
            </w:r>
            <w:r>
              <w:t>）计算公式：</w:t>
            </w:r>
          </w:p>
          <w:p w14:paraId="56B13D63">
            <w:pPr>
              <w:pStyle w:val="17"/>
              <w:ind w:firstLine="480"/>
            </w:pPr>
            <m:oMathPara>
              <m:oMath>
                <m:sSub>
                  <m:sSubPr>
                    <m:ctrlPr>
                      <w:rPr>
                        <w:rFonts w:ascii="Cambria Math" w:hAnsi="Cambria Math"/>
                      </w:rPr>
                    </m:ctrlPr>
                  </m:sSubPr>
                  <m:e>
                    <m:r>
                      <m:rPr/>
                      <w:rPr>
                        <w:rFonts w:ascii="Cambria Math" w:hAnsi="Cambria Math"/>
                      </w:rPr>
                      <m:t>L</m:t>
                    </m:r>
                    <m:ctrlPr>
                      <w:rPr>
                        <w:rFonts w:ascii="Cambria Math" w:hAnsi="Cambria Math"/>
                      </w:rPr>
                    </m:ctrlPr>
                  </m:e>
                  <m:sub>
                    <m:r>
                      <m:rPr/>
                      <w:rPr>
                        <w:rFonts w:ascii="Cambria Math" w:hAnsi="Cambria Math"/>
                      </w:rPr>
                      <m:t>eqg</m:t>
                    </m:r>
                    <m:ctrlPr>
                      <w:rPr>
                        <w:rFonts w:ascii="Cambria Math" w:hAnsi="Cambria Math"/>
                      </w:rPr>
                    </m:ctrlPr>
                  </m:sub>
                </m:sSub>
                <m:r>
                  <m:rPr/>
                  <w:rPr>
                    <w:rFonts w:ascii="Cambria Math" w:hAnsi="Cambria Math"/>
                  </w:rPr>
                  <m:t>=10lg</m:t>
                </m:r>
                <m:d>
                  <m:dPr>
                    <m:begChr m:val="["/>
                    <m:endChr m:val="]"/>
                    <m:ctrlPr>
                      <w:rPr>
                        <w:rFonts w:ascii="Cambria Math" w:hAnsi="Cambria Math"/>
                        <w:i/>
                      </w:rPr>
                    </m:ctrlPr>
                  </m:dPr>
                  <m:e>
                    <m:f>
                      <m:fPr>
                        <m:ctrlPr>
                          <w:rPr>
                            <w:rFonts w:ascii="Cambria Math" w:hAnsi="Cambria Math"/>
                            <w:i/>
                          </w:rPr>
                        </m:ctrlPr>
                      </m:fPr>
                      <m:num>
                        <m:r>
                          <m:rPr/>
                          <w:rPr>
                            <w:rFonts w:ascii="Cambria Math" w:hAnsi="Cambria Math"/>
                          </w:rPr>
                          <m:t>1</m:t>
                        </m:r>
                        <m:ctrlPr>
                          <w:rPr>
                            <w:rFonts w:ascii="Cambria Math" w:hAnsi="Cambria Math"/>
                            <w:i/>
                          </w:rPr>
                        </m:ctrlPr>
                      </m:num>
                      <m:den>
                        <m:r>
                          <m:rPr/>
                          <w:rPr>
                            <w:rFonts w:ascii="Cambria Math" w:hAnsi="Cambria Math"/>
                          </w:rPr>
                          <m:t>T</m:t>
                        </m:r>
                        <m:ctrlPr>
                          <w:rPr>
                            <w:rFonts w:ascii="Cambria Math" w:hAnsi="Cambria Math"/>
                            <w:i/>
                          </w:rPr>
                        </m:ctrlPr>
                      </m:den>
                    </m:f>
                    <m:d>
                      <m:dPr>
                        <m:ctrlPr>
                          <w:rPr>
                            <w:rFonts w:ascii="Cambria Math" w:hAnsi="Cambria Math"/>
                            <w:i/>
                          </w:rPr>
                        </m:ctrlPr>
                      </m:dPr>
                      <m:e>
                        <m:nary>
                          <m:naryPr>
                            <m:chr m:val="∑"/>
                            <m:limLoc m:val="undOvr"/>
                            <m:ctrlPr>
                              <w:rPr>
                                <w:rFonts w:ascii="Cambria Math" w:hAnsi="Cambria Math"/>
                                <w:i/>
                              </w:rPr>
                            </m:ctrlPr>
                          </m:naryPr>
                          <m:sub>
                            <m:r>
                              <m:rPr/>
                              <w:rPr>
                                <w:rFonts w:ascii="Cambria Math" w:hAnsi="Cambria Math"/>
                              </w:rPr>
                              <m:t>i=1</m:t>
                            </m:r>
                            <m:ctrlPr>
                              <w:rPr>
                                <w:rFonts w:ascii="Cambria Math" w:hAnsi="Cambria Math"/>
                                <w:i/>
                              </w:rPr>
                            </m:ctrlPr>
                          </m:sub>
                          <m:sup>
                            <m:r>
                              <m:rPr/>
                              <w:rPr>
                                <w:rFonts w:ascii="Cambria Math" w:hAnsi="Cambria Math"/>
                              </w:rPr>
                              <m:t>N</m:t>
                            </m:r>
                            <m:ctrlPr>
                              <w:rPr>
                                <w:rFonts w:ascii="Cambria Math" w:hAnsi="Cambria Math"/>
                                <w:i/>
                              </w:rPr>
                            </m:ctrlPr>
                          </m:sup>
                          <m:e>
                            <m:sSup>
                              <m:sSupPr>
                                <m:ctrlPr>
                                  <w:rPr>
                                    <w:rFonts w:ascii="Cambria Math" w:hAnsi="Cambria Math"/>
                                    <w:i/>
                                  </w:rPr>
                                </m:ctrlPr>
                              </m:sSupPr>
                              <m:e>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i</m:t>
                                    </m:r>
                                    <m:ctrlPr>
                                      <w:rPr>
                                        <w:rFonts w:ascii="Cambria Math" w:hAnsi="Cambria Math"/>
                                        <w:i/>
                                      </w:rPr>
                                    </m:ctrlPr>
                                  </m:sub>
                                </m:sSub>
                                <m:r>
                                  <m:rPr/>
                                  <w:rPr>
                                    <w:rFonts w:ascii="Cambria Math" w:hAnsi="Cambria Math"/>
                                  </w:rPr>
                                  <m:t>10</m:t>
                                </m:r>
                                <m:ctrlPr>
                                  <w:rPr>
                                    <w:rFonts w:ascii="Cambria Math" w:hAnsi="Cambria Math"/>
                                    <w:i/>
                                  </w:rPr>
                                </m:ctrlPr>
                              </m:e>
                              <m:sup>
                                <m:r>
                                  <m:rPr/>
                                  <w:rPr>
                                    <w:rFonts w:ascii="Cambria Math" w:hAnsi="Cambria Math"/>
                                  </w:rPr>
                                  <m:t>0.1</m:t>
                                </m:r>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Ai</m:t>
                                    </m:r>
                                    <m:ctrlPr>
                                      <w:rPr>
                                        <w:rFonts w:ascii="Cambria Math" w:hAnsi="Cambria Math"/>
                                        <w:i/>
                                      </w:rPr>
                                    </m:ctrlPr>
                                  </m:sub>
                                </m:sSub>
                                <m:ctrlPr>
                                  <w:rPr>
                                    <w:rFonts w:ascii="Cambria Math" w:hAnsi="Cambria Math"/>
                                    <w:i/>
                                  </w:rPr>
                                </m:ctrlPr>
                              </m:sup>
                            </m:sSup>
                            <m:ctrlPr>
                              <w:rPr>
                                <w:rFonts w:ascii="Cambria Math" w:hAnsi="Cambria Math"/>
                                <w:i/>
                              </w:rPr>
                            </m:ctrlPr>
                          </m:e>
                        </m:nary>
                        <m:r>
                          <m:rPr/>
                          <w:rPr>
                            <w:rFonts w:ascii="Cambria Math" w:hAnsi="Cambria Math"/>
                          </w:rPr>
                          <m:t>+</m:t>
                        </m:r>
                        <m:nary>
                          <m:naryPr>
                            <m:chr m:val="∑"/>
                            <m:limLoc m:val="undOvr"/>
                            <m:ctrlPr>
                              <w:rPr>
                                <w:rFonts w:ascii="Cambria Math" w:hAnsi="Cambria Math"/>
                                <w:i/>
                              </w:rPr>
                            </m:ctrlPr>
                          </m:naryPr>
                          <m:sub>
                            <m:r>
                              <m:rPr/>
                              <w:rPr>
                                <w:rFonts w:ascii="Cambria Math" w:hAnsi="Cambria Math"/>
                              </w:rPr>
                              <m:t>j=1</m:t>
                            </m:r>
                            <m:ctrlPr>
                              <w:rPr>
                                <w:rFonts w:ascii="Cambria Math" w:hAnsi="Cambria Math"/>
                                <w:i/>
                              </w:rPr>
                            </m:ctrlPr>
                          </m:sub>
                          <m:sup>
                            <m:r>
                              <m:rPr/>
                              <w:rPr>
                                <w:rFonts w:ascii="Cambria Math" w:hAnsi="Cambria Math"/>
                              </w:rPr>
                              <m:t>M</m:t>
                            </m:r>
                            <m:ctrlPr>
                              <w:rPr>
                                <w:rFonts w:ascii="Cambria Math" w:hAnsi="Cambria Math"/>
                                <w:i/>
                              </w:rPr>
                            </m:ctrlPr>
                          </m:sup>
                          <m:e>
                            <m:sSup>
                              <m:sSupPr>
                                <m:ctrlPr>
                                  <w:rPr>
                                    <w:rFonts w:ascii="Cambria Math" w:hAnsi="Cambria Math"/>
                                    <w:i/>
                                  </w:rPr>
                                </m:ctrlPr>
                              </m:sSupPr>
                              <m:e>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j</m:t>
                                    </m:r>
                                    <m:ctrlPr>
                                      <w:rPr>
                                        <w:rFonts w:ascii="Cambria Math" w:hAnsi="Cambria Math"/>
                                        <w:i/>
                                      </w:rPr>
                                    </m:ctrlPr>
                                  </m:sub>
                                </m:sSub>
                                <m:r>
                                  <m:rPr/>
                                  <w:rPr>
                                    <w:rFonts w:ascii="Cambria Math" w:hAnsi="Cambria Math"/>
                                  </w:rPr>
                                  <m:t>10</m:t>
                                </m:r>
                                <m:ctrlPr>
                                  <w:rPr>
                                    <w:rFonts w:ascii="Cambria Math" w:hAnsi="Cambria Math"/>
                                    <w:i/>
                                  </w:rPr>
                                </m:ctrlPr>
                              </m:e>
                              <m:sup>
                                <m:r>
                                  <m:rPr/>
                                  <w:rPr>
                                    <w:rFonts w:ascii="Cambria Math" w:hAnsi="Cambria Math"/>
                                  </w:rPr>
                                  <m:t>0.1</m:t>
                                </m:r>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Aj</m:t>
                                    </m:r>
                                    <m:ctrlPr>
                                      <w:rPr>
                                        <w:rFonts w:ascii="Cambria Math" w:hAnsi="Cambria Math"/>
                                        <w:i/>
                                      </w:rPr>
                                    </m:ctrlPr>
                                  </m:sub>
                                </m:sSub>
                                <m:ctrlPr>
                                  <w:rPr>
                                    <w:rFonts w:ascii="Cambria Math" w:hAnsi="Cambria Math"/>
                                    <w:i/>
                                  </w:rPr>
                                </m:ctrlPr>
                              </m:sup>
                            </m:sSup>
                            <m:ctrlPr>
                              <w:rPr>
                                <w:rFonts w:ascii="Cambria Math" w:hAnsi="Cambria Math"/>
                                <w:i/>
                              </w:rPr>
                            </m:ctrlPr>
                          </m:e>
                        </m:nary>
                        <m:ctrlPr>
                          <w:rPr>
                            <w:rFonts w:ascii="Cambria Math" w:hAnsi="Cambria Math"/>
                            <w:i/>
                          </w:rPr>
                        </m:ctrlPr>
                      </m:e>
                    </m:d>
                    <m:ctrlPr>
                      <w:rPr>
                        <w:rFonts w:ascii="Cambria Math" w:hAnsi="Cambria Math"/>
                        <w:i/>
                      </w:rPr>
                    </m:ctrlPr>
                  </m:e>
                </m:d>
              </m:oMath>
            </m:oMathPara>
          </w:p>
          <w:p w14:paraId="4374575F">
            <w:pPr>
              <w:pStyle w:val="17"/>
              <w:ind w:firstLine="480"/>
            </w:pPr>
            <w:r>
              <w:t>式中：L</w:t>
            </w:r>
            <w:r>
              <w:rPr>
                <w:vertAlign w:val="subscript"/>
              </w:rPr>
              <w:t>eqg</w:t>
            </w:r>
            <w:r>
              <w:t>——建设项目声源在预测点的噪声贡献值，dB；</w:t>
            </w:r>
          </w:p>
          <w:p w14:paraId="1E1D6393">
            <w:pPr>
              <w:pStyle w:val="17"/>
              <w:ind w:firstLine="1200" w:firstLineChars="500"/>
            </w:pPr>
            <w:r>
              <w:t>T——用于计算等效声级的时间，s；</w:t>
            </w:r>
          </w:p>
          <w:p w14:paraId="7191D483">
            <w:pPr>
              <w:pStyle w:val="17"/>
              <w:ind w:firstLine="1200" w:firstLineChars="500"/>
            </w:pPr>
            <w:r>
              <w:t>N——室外声源个数；</w:t>
            </w:r>
          </w:p>
          <w:p w14:paraId="05FEEB13">
            <w:pPr>
              <w:pStyle w:val="17"/>
              <w:ind w:firstLine="1200" w:firstLineChars="500"/>
            </w:pPr>
            <w:r>
              <w:rPr>
                <w:rFonts w:hint="eastAsia"/>
              </w:rPr>
              <w:t>t</w:t>
            </w:r>
            <w:r>
              <w:rPr>
                <w:vertAlign w:val="subscript"/>
              </w:rPr>
              <w:t>i</w:t>
            </w:r>
            <w:r>
              <w:t>——在T时间内i声源工作时间，s；</w:t>
            </w:r>
          </w:p>
          <w:p w14:paraId="174772A7">
            <w:pPr>
              <w:pStyle w:val="17"/>
              <w:ind w:firstLine="1200" w:firstLineChars="500"/>
            </w:pPr>
            <w:r>
              <w:t>M——等效室外声源个数；</w:t>
            </w:r>
          </w:p>
          <w:p w14:paraId="04F00616">
            <w:pPr>
              <w:pStyle w:val="17"/>
              <w:ind w:firstLine="1200" w:firstLineChars="500"/>
            </w:pPr>
            <w:r>
              <w:t>T</w:t>
            </w:r>
            <w:r>
              <w:rPr>
                <w:vertAlign w:val="subscript"/>
              </w:rPr>
              <w:t>j</w:t>
            </w:r>
            <w:r>
              <w:t>——在T时间内j声源工作时间，s。</w:t>
            </w:r>
          </w:p>
          <w:p w14:paraId="5D04DA09">
            <w:pPr>
              <w:pStyle w:val="17"/>
              <w:ind w:firstLine="482"/>
              <w:rPr>
                <w:b/>
                <w:bCs/>
              </w:rPr>
            </w:pPr>
            <w:r>
              <w:rPr>
                <w:b/>
                <w:bCs/>
              </w:rPr>
              <w:t>3</w:t>
            </w:r>
            <w:r>
              <w:rPr>
                <w:rFonts w:hint="eastAsia"/>
                <w:b/>
                <w:bCs/>
              </w:rPr>
              <w:t>.2.3</w:t>
            </w:r>
            <w:r>
              <w:rPr>
                <w:b/>
                <w:bCs/>
              </w:rPr>
              <w:t>预测结果</w:t>
            </w:r>
          </w:p>
          <w:p w14:paraId="0207CE2B">
            <w:pPr>
              <w:pStyle w:val="17"/>
              <w:ind w:firstLine="480"/>
            </w:pPr>
            <w:r>
              <w:t>通过对建设项目噪声源强及噪声的防治措施和衰减特性分析，本项目对各厂界噪声影响结果见下表。</w:t>
            </w:r>
          </w:p>
          <w:p w14:paraId="788CC2F6">
            <w:pPr>
              <w:pStyle w:val="18"/>
            </w:pPr>
            <w:r>
              <w:rPr>
                <w:rFonts w:hint="eastAsia"/>
              </w:rPr>
              <w:t>表4-10  厂界噪声预测结果</w:t>
            </w:r>
          </w:p>
          <w:tbl>
            <w:tblPr>
              <w:tblStyle w:val="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1578"/>
              <w:gridCol w:w="1796"/>
              <w:gridCol w:w="1984"/>
              <w:gridCol w:w="1076"/>
            </w:tblGrid>
            <w:tr w14:paraId="7FA39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pct"/>
                  <w:vAlign w:val="center"/>
                </w:tcPr>
                <w:p w14:paraId="32A29045">
                  <w:pPr>
                    <w:pStyle w:val="15"/>
                    <w:jc w:val="center"/>
                  </w:pPr>
                  <w:r>
                    <w:rPr>
                      <w:rFonts w:hint="eastAsia"/>
                    </w:rPr>
                    <w:t>位置</w:t>
                  </w:r>
                </w:p>
              </w:tc>
              <w:tc>
                <w:tcPr>
                  <w:tcW w:w="1000" w:type="pct"/>
                  <w:vAlign w:val="center"/>
                </w:tcPr>
                <w:p w14:paraId="10A2DFF6">
                  <w:pPr>
                    <w:pStyle w:val="15"/>
                    <w:jc w:val="center"/>
                  </w:pPr>
                  <w:r>
                    <w:t>预测点坐标X/Y/Z（m）</w:t>
                  </w:r>
                </w:p>
              </w:tc>
              <w:tc>
                <w:tcPr>
                  <w:tcW w:w="1138" w:type="pct"/>
                  <w:vAlign w:val="center"/>
                </w:tcPr>
                <w:p w14:paraId="66397DD1">
                  <w:pPr>
                    <w:pStyle w:val="15"/>
                    <w:jc w:val="center"/>
                  </w:pPr>
                  <w:r>
                    <w:t>贡献值</w:t>
                  </w:r>
                  <w:r>
                    <w:rPr>
                      <w:rFonts w:hint="eastAsia"/>
                    </w:rPr>
                    <w:t>（dB（A））</w:t>
                  </w:r>
                </w:p>
              </w:tc>
              <w:tc>
                <w:tcPr>
                  <w:tcW w:w="1257" w:type="pct"/>
                  <w:vAlign w:val="center"/>
                </w:tcPr>
                <w:p w14:paraId="77D5097C">
                  <w:pPr>
                    <w:pStyle w:val="15"/>
                    <w:jc w:val="center"/>
                  </w:pPr>
                  <w:r>
                    <w:rPr>
                      <w:rFonts w:hint="eastAsia"/>
                    </w:rPr>
                    <w:t>标准限值（dB（A））</w:t>
                  </w:r>
                </w:p>
              </w:tc>
              <w:tc>
                <w:tcPr>
                  <w:tcW w:w="682" w:type="pct"/>
                  <w:vAlign w:val="center"/>
                </w:tcPr>
                <w:p w14:paraId="274D6AF2">
                  <w:pPr>
                    <w:pStyle w:val="15"/>
                    <w:jc w:val="center"/>
                  </w:pPr>
                  <w:r>
                    <w:rPr>
                      <w:rFonts w:hint="eastAsia"/>
                    </w:rPr>
                    <w:t>达标情况</w:t>
                  </w:r>
                </w:p>
              </w:tc>
            </w:tr>
            <w:tr w14:paraId="57746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pct"/>
                  <w:vAlign w:val="center"/>
                </w:tcPr>
                <w:p w14:paraId="7B4BA699">
                  <w:pPr>
                    <w:pStyle w:val="15"/>
                    <w:jc w:val="center"/>
                  </w:pPr>
                  <w:r>
                    <w:rPr>
                      <w:rFonts w:hint="eastAsia"/>
                    </w:rPr>
                    <w:t>厂界东北侧</w:t>
                  </w:r>
                </w:p>
              </w:tc>
              <w:tc>
                <w:tcPr>
                  <w:tcW w:w="1000" w:type="pct"/>
                  <w:vAlign w:val="center"/>
                </w:tcPr>
                <w:p w14:paraId="3B9F8C97">
                  <w:pPr>
                    <w:pStyle w:val="15"/>
                    <w:jc w:val="center"/>
                  </w:pPr>
                  <w:r>
                    <w:rPr>
                      <w:rFonts w:hint="eastAsia"/>
                    </w:rPr>
                    <w:t>10/0/1.2</w:t>
                  </w:r>
                </w:p>
              </w:tc>
              <w:tc>
                <w:tcPr>
                  <w:tcW w:w="1138" w:type="pct"/>
                  <w:vAlign w:val="center"/>
                </w:tcPr>
                <w:p w14:paraId="08B6A555">
                  <w:pPr>
                    <w:pStyle w:val="15"/>
                    <w:jc w:val="center"/>
                    <w:rPr>
                      <w:rFonts w:hint="default" w:eastAsia="宋体"/>
                      <w:lang w:val="en-US" w:eastAsia="zh-CN"/>
                    </w:rPr>
                  </w:pPr>
                  <w:r>
                    <w:rPr>
                      <w:rFonts w:hint="eastAsia"/>
                      <w:lang w:val="en-US" w:eastAsia="zh-CN"/>
                    </w:rPr>
                    <w:t>42.0</w:t>
                  </w:r>
                </w:p>
              </w:tc>
              <w:tc>
                <w:tcPr>
                  <w:tcW w:w="1257" w:type="pct"/>
                  <w:vAlign w:val="center"/>
                </w:tcPr>
                <w:p w14:paraId="50184AD4">
                  <w:pPr>
                    <w:pStyle w:val="15"/>
                    <w:jc w:val="center"/>
                  </w:pPr>
                  <w:r>
                    <w:rPr>
                      <w:rFonts w:hint="eastAsia"/>
                    </w:rPr>
                    <w:t>60</w:t>
                  </w:r>
                </w:p>
              </w:tc>
              <w:tc>
                <w:tcPr>
                  <w:tcW w:w="682" w:type="pct"/>
                  <w:vAlign w:val="center"/>
                </w:tcPr>
                <w:p w14:paraId="4BA2BC8C">
                  <w:pPr>
                    <w:pStyle w:val="15"/>
                    <w:jc w:val="center"/>
                  </w:pPr>
                  <w:r>
                    <w:rPr>
                      <w:rFonts w:hint="eastAsia"/>
                    </w:rPr>
                    <w:t>达标</w:t>
                  </w:r>
                </w:p>
              </w:tc>
            </w:tr>
            <w:tr w14:paraId="5B92A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pct"/>
                  <w:vAlign w:val="center"/>
                </w:tcPr>
                <w:p w14:paraId="4981BFE9">
                  <w:pPr>
                    <w:pStyle w:val="15"/>
                    <w:jc w:val="center"/>
                  </w:pPr>
                  <w:r>
                    <w:t>厂界东南侧</w:t>
                  </w:r>
                </w:p>
              </w:tc>
              <w:tc>
                <w:tcPr>
                  <w:tcW w:w="1000" w:type="pct"/>
                  <w:vAlign w:val="center"/>
                </w:tcPr>
                <w:p w14:paraId="71D88E27">
                  <w:pPr>
                    <w:pStyle w:val="15"/>
                    <w:jc w:val="center"/>
                  </w:pPr>
                  <w:r>
                    <w:rPr>
                      <w:rFonts w:hint="eastAsia"/>
                    </w:rPr>
                    <w:t>20/30/1.2</w:t>
                  </w:r>
                </w:p>
              </w:tc>
              <w:tc>
                <w:tcPr>
                  <w:tcW w:w="1138" w:type="pct"/>
                  <w:vAlign w:val="center"/>
                </w:tcPr>
                <w:p w14:paraId="0D1EB0F9">
                  <w:pPr>
                    <w:pStyle w:val="15"/>
                    <w:jc w:val="center"/>
                    <w:rPr>
                      <w:rFonts w:hint="default" w:eastAsia="宋体"/>
                      <w:lang w:val="en-US" w:eastAsia="zh-CN"/>
                    </w:rPr>
                  </w:pPr>
                  <w:r>
                    <w:rPr>
                      <w:rFonts w:hint="eastAsia"/>
                      <w:lang w:val="en-US" w:eastAsia="zh-CN"/>
                    </w:rPr>
                    <w:t>44.8</w:t>
                  </w:r>
                </w:p>
              </w:tc>
              <w:tc>
                <w:tcPr>
                  <w:tcW w:w="1257" w:type="pct"/>
                  <w:vAlign w:val="center"/>
                </w:tcPr>
                <w:p w14:paraId="27A02E26">
                  <w:pPr>
                    <w:pStyle w:val="15"/>
                    <w:jc w:val="center"/>
                  </w:pPr>
                  <w:r>
                    <w:rPr>
                      <w:rFonts w:hint="eastAsia"/>
                    </w:rPr>
                    <w:t>60</w:t>
                  </w:r>
                </w:p>
              </w:tc>
              <w:tc>
                <w:tcPr>
                  <w:tcW w:w="682" w:type="pct"/>
                  <w:vAlign w:val="center"/>
                </w:tcPr>
                <w:p w14:paraId="35E48EA2">
                  <w:pPr>
                    <w:pStyle w:val="15"/>
                    <w:jc w:val="center"/>
                  </w:pPr>
                  <w:r>
                    <w:rPr>
                      <w:rFonts w:hint="eastAsia"/>
                    </w:rPr>
                    <w:t>达标</w:t>
                  </w:r>
                </w:p>
              </w:tc>
            </w:tr>
            <w:tr w14:paraId="53FD1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pct"/>
                  <w:vAlign w:val="center"/>
                </w:tcPr>
                <w:p w14:paraId="54B355EF">
                  <w:pPr>
                    <w:pStyle w:val="15"/>
                    <w:jc w:val="center"/>
                  </w:pPr>
                  <w:r>
                    <w:t>厂界西南侧</w:t>
                  </w:r>
                </w:p>
              </w:tc>
              <w:tc>
                <w:tcPr>
                  <w:tcW w:w="1000" w:type="pct"/>
                  <w:vAlign w:val="center"/>
                </w:tcPr>
                <w:p w14:paraId="68622DDD">
                  <w:pPr>
                    <w:pStyle w:val="15"/>
                    <w:jc w:val="center"/>
                  </w:pPr>
                  <w:r>
                    <w:rPr>
                      <w:rFonts w:hint="eastAsia"/>
                    </w:rPr>
                    <w:t>20/60/1.2</w:t>
                  </w:r>
                </w:p>
              </w:tc>
              <w:tc>
                <w:tcPr>
                  <w:tcW w:w="1138" w:type="pct"/>
                  <w:vAlign w:val="center"/>
                </w:tcPr>
                <w:p w14:paraId="01BD325E">
                  <w:pPr>
                    <w:pStyle w:val="15"/>
                    <w:jc w:val="center"/>
                    <w:rPr>
                      <w:rFonts w:hint="default" w:eastAsia="宋体"/>
                      <w:lang w:val="en-US" w:eastAsia="zh-CN"/>
                    </w:rPr>
                  </w:pPr>
                  <w:r>
                    <w:rPr>
                      <w:rFonts w:hint="eastAsia"/>
                    </w:rPr>
                    <w:t>4</w:t>
                  </w:r>
                  <w:r>
                    <w:rPr>
                      <w:rFonts w:hint="eastAsia"/>
                      <w:lang w:val="en-US" w:eastAsia="zh-CN"/>
                    </w:rPr>
                    <w:t>2.6</w:t>
                  </w:r>
                </w:p>
              </w:tc>
              <w:tc>
                <w:tcPr>
                  <w:tcW w:w="1257" w:type="pct"/>
                  <w:vAlign w:val="center"/>
                </w:tcPr>
                <w:p w14:paraId="2204FC95">
                  <w:pPr>
                    <w:pStyle w:val="15"/>
                    <w:jc w:val="center"/>
                  </w:pPr>
                  <w:r>
                    <w:rPr>
                      <w:rFonts w:hint="eastAsia"/>
                    </w:rPr>
                    <w:t>60</w:t>
                  </w:r>
                </w:p>
              </w:tc>
              <w:tc>
                <w:tcPr>
                  <w:tcW w:w="682" w:type="pct"/>
                  <w:vAlign w:val="center"/>
                </w:tcPr>
                <w:p w14:paraId="7D64CF63">
                  <w:pPr>
                    <w:pStyle w:val="15"/>
                    <w:jc w:val="center"/>
                  </w:pPr>
                  <w:r>
                    <w:rPr>
                      <w:rFonts w:hint="eastAsia"/>
                    </w:rPr>
                    <w:t>达标</w:t>
                  </w:r>
                </w:p>
              </w:tc>
            </w:tr>
            <w:tr w14:paraId="746FB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pct"/>
                  <w:vAlign w:val="center"/>
                </w:tcPr>
                <w:p w14:paraId="25CDF51D">
                  <w:pPr>
                    <w:pStyle w:val="15"/>
                    <w:jc w:val="center"/>
                  </w:pPr>
                  <w:r>
                    <w:t>厂界西北侧</w:t>
                  </w:r>
                </w:p>
              </w:tc>
              <w:tc>
                <w:tcPr>
                  <w:tcW w:w="1000" w:type="pct"/>
                  <w:vAlign w:val="center"/>
                </w:tcPr>
                <w:p w14:paraId="081B795F">
                  <w:pPr>
                    <w:pStyle w:val="15"/>
                    <w:jc w:val="center"/>
                  </w:pPr>
                  <w:r>
                    <w:rPr>
                      <w:rFonts w:hint="eastAsia"/>
                    </w:rPr>
                    <w:t>0/30/1.2</w:t>
                  </w:r>
                </w:p>
              </w:tc>
              <w:tc>
                <w:tcPr>
                  <w:tcW w:w="1138" w:type="pct"/>
                  <w:vAlign w:val="center"/>
                </w:tcPr>
                <w:p w14:paraId="025F490A">
                  <w:pPr>
                    <w:pStyle w:val="15"/>
                    <w:jc w:val="center"/>
                    <w:rPr>
                      <w:rFonts w:hint="default" w:eastAsia="宋体"/>
                      <w:lang w:val="en-US" w:eastAsia="zh-CN"/>
                    </w:rPr>
                  </w:pPr>
                  <w:r>
                    <w:rPr>
                      <w:rFonts w:hint="eastAsia"/>
                      <w:lang w:val="en-US" w:eastAsia="zh-CN"/>
                    </w:rPr>
                    <w:t>40.9</w:t>
                  </w:r>
                </w:p>
              </w:tc>
              <w:tc>
                <w:tcPr>
                  <w:tcW w:w="1257" w:type="pct"/>
                  <w:vAlign w:val="center"/>
                </w:tcPr>
                <w:p w14:paraId="4E48DB1F">
                  <w:pPr>
                    <w:pStyle w:val="15"/>
                    <w:jc w:val="center"/>
                  </w:pPr>
                  <w:r>
                    <w:rPr>
                      <w:rFonts w:hint="eastAsia"/>
                    </w:rPr>
                    <w:t>60</w:t>
                  </w:r>
                </w:p>
              </w:tc>
              <w:tc>
                <w:tcPr>
                  <w:tcW w:w="682" w:type="pct"/>
                  <w:vAlign w:val="center"/>
                </w:tcPr>
                <w:p w14:paraId="64F30C10">
                  <w:pPr>
                    <w:pStyle w:val="15"/>
                    <w:jc w:val="center"/>
                  </w:pPr>
                  <w:r>
                    <w:rPr>
                      <w:rFonts w:hint="eastAsia"/>
                    </w:rPr>
                    <w:t>达标</w:t>
                  </w:r>
                </w:p>
              </w:tc>
            </w:tr>
          </w:tbl>
          <w:p w14:paraId="7908AC27">
            <w:pPr>
              <w:pStyle w:val="17"/>
              <w:ind w:firstLine="480"/>
            </w:pPr>
            <w:r>
              <w:t>由上表可知，</w:t>
            </w:r>
            <w:r>
              <w:rPr>
                <w:rFonts w:hint="eastAsia"/>
              </w:rPr>
              <w:t>本</w:t>
            </w:r>
            <w:r>
              <w:t>项目</w:t>
            </w:r>
            <w:r>
              <w:rPr>
                <w:rFonts w:hint="eastAsia"/>
              </w:rPr>
              <w:t>噪声采取</w:t>
            </w:r>
            <w:r>
              <w:t>基础减振、隔声</w:t>
            </w:r>
            <w:r>
              <w:rPr>
                <w:rFonts w:hint="eastAsia"/>
              </w:rPr>
              <w:t>等措施后</w:t>
            </w:r>
            <w:r>
              <w:t>，厂界</w:t>
            </w:r>
            <w:r>
              <w:rPr>
                <w:rFonts w:hint="eastAsia"/>
              </w:rPr>
              <w:t>四周</w:t>
            </w:r>
            <w:r>
              <w:t>噪声满足《工业企业厂界环境噪声排放标准》</w:t>
            </w:r>
            <w:r>
              <w:rPr>
                <w:rFonts w:hint="eastAsia"/>
              </w:rPr>
              <w:t>（</w:t>
            </w:r>
            <w:r>
              <w:t>GB12348</w:t>
            </w:r>
            <w:r>
              <w:rPr>
                <w:rFonts w:hint="eastAsia"/>
              </w:rPr>
              <w:t>-</w:t>
            </w:r>
            <w:r>
              <w:t>2008</w:t>
            </w:r>
            <w:r>
              <w:rPr>
                <w:rFonts w:hint="eastAsia"/>
              </w:rPr>
              <w:t>）</w:t>
            </w:r>
            <w:r>
              <w:t>中的</w:t>
            </w:r>
            <w:r>
              <w:rPr>
                <w:rFonts w:hint="eastAsia"/>
              </w:rPr>
              <w:t>2</w:t>
            </w:r>
            <w:r>
              <w:t>类标准</w:t>
            </w:r>
            <w:r>
              <w:rPr>
                <w:rFonts w:hint="eastAsia"/>
              </w:rPr>
              <w:t>，</w:t>
            </w:r>
            <w:r>
              <w:t>对周围声环境产生影响</w:t>
            </w:r>
            <w:r>
              <w:rPr>
                <w:rFonts w:hint="eastAsia"/>
              </w:rPr>
              <w:t>很小</w:t>
            </w:r>
            <w:r>
              <w:t>。</w:t>
            </w:r>
          </w:p>
          <w:p w14:paraId="4F21ADA3">
            <w:pPr>
              <w:pStyle w:val="16"/>
              <w:ind w:firstLine="482"/>
            </w:pPr>
            <w:r>
              <w:t>3.</w:t>
            </w:r>
            <w:r>
              <w:rPr>
                <w:rFonts w:hint="eastAsia"/>
              </w:rPr>
              <w:t>3</w:t>
            </w:r>
            <w:r>
              <w:t>噪声污染防治措施可行性分析</w:t>
            </w:r>
          </w:p>
          <w:p w14:paraId="67F6EF52">
            <w:pPr>
              <w:pStyle w:val="17"/>
              <w:ind w:firstLine="480"/>
            </w:pPr>
            <w:r>
              <w:t>为了更好地降低噪声对周围环境的影响，加强噪声防治工作，建设单位应采取以下措施：</w:t>
            </w:r>
          </w:p>
          <w:p w14:paraId="203A7D39">
            <w:pPr>
              <w:pStyle w:val="17"/>
              <w:ind w:firstLine="480"/>
            </w:pPr>
            <w:r>
              <w:t>①尽量选用低噪声设备，做好设备保养，保持设备运行良好；</w:t>
            </w:r>
          </w:p>
          <w:p w14:paraId="00D13C66">
            <w:pPr>
              <w:pStyle w:val="17"/>
              <w:ind w:firstLine="480"/>
            </w:pPr>
            <w:r>
              <w:t>②落实高噪声设备的减振、隔声措施；</w:t>
            </w:r>
          </w:p>
          <w:p w14:paraId="13C1526E">
            <w:pPr>
              <w:pStyle w:val="17"/>
              <w:ind w:firstLine="480"/>
            </w:pPr>
            <w:r>
              <w:t>③生产车间全封闭处理，同时选用低噪声、低能耗、低排放并满足环境保护标准的生产、运输等设备；</w:t>
            </w:r>
          </w:p>
          <w:p w14:paraId="4E78741B">
            <w:pPr>
              <w:pStyle w:val="17"/>
              <w:ind w:firstLine="480"/>
            </w:pPr>
            <w:r>
              <w:t>④加强员工培训，实施精细化生产，轻拿轻放，避免偶发噪声产生；</w:t>
            </w:r>
          </w:p>
          <w:p w14:paraId="083BED1C">
            <w:pPr>
              <w:pStyle w:val="17"/>
              <w:ind w:firstLine="480"/>
            </w:pPr>
            <w:r>
              <w:t>在实行以上措施后，可以大大减轻生产噪声对周围环境的影响，项目运营期间排放噪声对周边声环境影响在可接受范围内。</w:t>
            </w:r>
          </w:p>
          <w:p w14:paraId="724760F3">
            <w:pPr>
              <w:pStyle w:val="16"/>
              <w:ind w:firstLine="482"/>
            </w:pPr>
            <w:r>
              <w:t>3.4 噪声监测要求</w:t>
            </w:r>
          </w:p>
          <w:p w14:paraId="66279969">
            <w:pPr>
              <w:pStyle w:val="17"/>
              <w:ind w:firstLine="480"/>
            </w:pPr>
            <w:r>
              <w:t>本项目噪声监测计划根据《排污许可证申请与核发技术规范 工业噪声》（HJ1301-2023），具体见下表。</w:t>
            </w:r>
          </w:p>
          <w:p w14:paraId="1AC0BE52">
            <w:pPr>
              <w:pStyle w:val="18"/>
            </w:pPr>
            <w:r>
              <w:rPr>
                <w:rFonts w:hint="eastAsia"/>
              </w:rPr>
              <w:t>表4-11  噪声监测计划</w:t>
            </w:r>
          </w:p>
          <w:tbl>
            <w:tblPr>
              <w:tblStyle w:val="12"/>
              <w:tblW w:w="7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2905"/>
              <w:gridCol w:w="1837"/>
              <w:gridCol w:w="1975"/>
            </w:tblGrid>
            <w:tr w14:paraId="754CE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2" w:type="dxa"/>
                </w:tcPr>
                <w:p w14:paraId="0654F5A4">
                  <w:pPr>
                    <w:pStyle w:val="15"/>
                  </w:pPr>
                  <w:r>
                    <w:rPr>
                      <w:rFonts w:hint="eastAsia"/>
                    </w:rPr>
                    <w:t>监测项目</w:t>
                  </w:r>
                </w:p>
              </w:tc>
              <w:tc>
                <w:tcPr>
                  <w:tcW w:w="2905" w:type="dxa"/>
                </w:tcPr>
                <w:p w14:paraId="15F18DFC">
                  <w:pPr>
                    <w:pStyle w:val="15"/>
                  </w:pPr>
                  <w:r>
                    <w:rPr>
                      <w:rFonts w:hint="eastAsia"/>
                    </w:rPr>
                    <w:t>监测点位</w:t>
                  </w:r>
                </w:p>
              </w:tc>
              <w:tc>
                <w:tcPr>
                  <w:tcW w:w="1837" w:type="dxa"/>
                </w:tcPr>
                <w:p w14:paraId="48D73C09">
                  <w:pPr>
                    <w:pStyle w:val="15"/>
                  </w:pPr>
                  <w:r>
                    <w:rPr>
                      <w:rFonts w:hint="eastAsia"/>
                    </w:rPr>
                    <w:t>监测因子</w:t>
                  </w:r>
                </w:p>
              </w:tc>
              <w:tc>
                <w:tcPr>
                  <w:tcW w:w="1975" w:type="dxa"/>
                </w:tcPr>
                <w:p w14:paraId="026C9523">
                  <w:pPr>
                    <w:pStyle w:val="15"/>
                  </w:pPr>
                  <w:r>
                    <w:rPr>
                      <w:rFonts w:hint="eastAsia"/>
                    </w:rPr>
                    <w:t>监测频次</w:t>
                  </w:r>
                </w:p>
              </w:tc>
            </w:tr>
            <w:tr w14:paraId="1C213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2" w:type="dxa"/>
                </w:tcPr>
                <w:p w14:paraId="31BF83BB">
                  <w:pPr>
                    <w:pStyle w:val="15"/>
                  </w:pPr>
                  <w:r>
                    <w:rPr>
                      <w:rFonts w:hint="eastAsia"/>
                    </w:rPr>
                    <w:t>厂界噪声</w:t>
                  </w:r>
                </w:p>
              </w:tc>
              <w:tc>
                <w:tcPr>
                  <w:tcW w:w="2905" w:type="dxa"/>
                </w:tcPr>
                <w:p w14:paraId="07990E3E">
                  <w:pPr>
                    <w:pStyle w:val="15"/>
                  </w:pPr>
                  <w:r>
                    <w:t>厂界四周1m处各布设一个点</w:t>
                  </w:r>
                </w:p>
              </w:tc>
              <w:tc>
                <w:tcPr>
                  <w:tcW w:w="1837" w:type="dxa"/>
                </w:tcPr>
                <w:p w14:paraId="1BA37C92">
                  <w:pPr>
                    <w:pStyle w:val="15"/>
                  </w:pPr>
                  <w:r>
                    <w:t>连续等效A声级</w:t>
                  </w:r>
                </w:p>
              </w:tc>
              <w:tc>
                <w:tcPr>
                  <w:tcW w:w="1975" w:type="dxa"/>
                </w:tcPr>
                <w:p w14:paraId="71B87E91">
                  <w:pPr>
                    <w:pStyle w:val="15"/>
                  </w:pPr>
                  <w:r>
                    <w:t>1次/季度</w:t>
                  </w:r>
                </w:p>
              </w:tc>
            </w:tr>
          </w:tbl>
          <w:p w14:paraId="770B1327">
            <w:pPr>
              <w:pStyle w:val="16"/>
              <w:ind w:firstLine="482"/>
            </w:pPr>
            <w:r>
              <w:t>4、固体废物</w:t>
            </w:r>
          </w:p>
          <w:p w14:paraId="715E29FE">
            <w:pPr>
              <w:pStyle w:val="16"/>
              <w:ind w:firstLine="482"/>
            </w:pPr>
            <w:r>
              <w:t>4.1</w:t>
            </w:r>
            <w:r>
              <w:rPr>
                <w:rFonts w:hint="eastAsia"/>
              </w:rPr>
              <w:t xml:space="preserve"> </w:t>
            </w:r>
            <w:r>
              <w:t xml:space="preserve">固废产生情况 </w:t>
            </w:r>
          </w:p>
          <w:p w14:paraId="240FCF2F">
            <w:pPr>
              <w:pStyle w:val="17"/>
              <w:ind w:firstLine="480"/>
            </w:pPr>
            <w:r>
              <w:t>本项目运营期固体废物主要为食物残渣、废油脂、</w:t>
            </w:r>
            <w:r>
              <w:rPr>
                <w:rFonts w:hint="eastAsia"/>
              </w:rPr>
              <w:t>沉淀池沉渣</w:t>
            </w:r>
            <w:r>
              <w:t>、锅炉灰渣</w:t>
            </w:r>
            <w:r>
              <w:rPr>
                <w:rFonts w:hint="eastAsia"/>
              </w:rPr>
              <w:t>、除尘</w:t>
            </w:r>
            <w:r>
              <w:rPr>
                <w:rFonts w:hint="eastAsia"/>
                <w:lang w:val="en-US" w:eastAsia="zh-CN"/>
              </w:rPr>
              <w:t>器</w:t>
            </w:r>
            <w:r>
              <w:rPr>
                <w:rFonts w:hint="eastAsia"/>
              </w:rPr>
              <w:t>收集的粉尘、废包装材料、纯水制备废滤芯和生活垃圾</w:t>
            </w:r>
            <w:r>
              <w:t>。</w:t>
            </w:r>
          </w:p>
          <w:p w14:paraId="7CC2824C">
            <w:pPr>
              <w:pStyle w:val="17"/>
              <w:ind w:firstLine="480"/>
            </w:pPr>
            <w:r>
              <w:t>①食物残渣</w:t>
            </w:r>
            <w:r>
              <w:rPr>
                <w:rFonts w:hint="eastAsia"/>
              </w:rPr>
              <w:t>：本项目除渣工序会产生食物残渣，由于餐具回收委托单位在运输前均将餐具中残余物清理过，所以待清洗餐具中的食物残渣较少，类比《衡阳雁洁餐具消毒服务有限公司年清洗消毒餐具300万套建设项目环境影响报告表》（本项目与其生产工艺、产能相似）并结合企业提供资料，项目产生的食物残渣按0.005kg/套餐具计算，项目年清洗餐具300万套，则项目年产食物残渣，约为15t/a，经专用密封桶收集后交由餐厨垃圾处理公司等有资质单位处理，每天清运。</w:t>
            </w:r>
          </w:p>
          <w:p w14:paraId="1337A9CE">
            <w:pPr>
              <w:pStyle w:val="17"/>
              <w:ind w:firstLine="480"/>
            </w:pPr>
            <w:r>
              <w:t>②</w:t>
            </w:r>
            <w:r>
              <w:rPr>
                <w:rFonts w:hint="eastAsia"/>
              </w:rPr>
              <w:t>废油脂</w:t>
            </w:r>
            <w:r>
              <w:t>：本项目隔油池处理餐具清洗废水过程中会产生废油脂</w:t>
            </w:r>
            <w:r>
              <w:rPr>
                <w:rFonts w:hint="eastAsia"/>
              </w:rPr>
              <w:t>，类比《衡阳雁洁餐具消毒服务有限公司年清洗消毒餐具300万套建设项目环境影响报告表》（本项目与其生产工艺、产能相似）并结合企业提供资料，</w:t>
            </w:r>
            <w:r>
              <w:t>产生量按0.001kg/套餐具计算，项目年清洗餐具300万套，则项目废油脂约为3.0t/a</w:t>
            </w:r>
            <w:r>
              <w:rPr>
                <w:rFonts w:hint="eastAsia"/>
              </w:rPr>
              <w:t>，</w:t>
            </w:r>
            <w:r>
              <w:t>交由餐厨垃圾处理公司等有资质单位处理。</w:t>
            </w:r>
          </w:p>
          <w:p w14:paraId="542DE825">
            <w:pPr>
              <w:pStyle w:val="17"/>
              <w:ind w:firstLine="480"/>
            </w:pPr>
            <w:r>
              <w:t>③</w:t>
            </w:r>
            <w:r>
              <w:rPr>
                <w:rFonts w:hint="eastAsia"/>
              </w:rPr>
              <w:t>沉淀池沉渣</w:t>
            </w:r>
            <w:r>
              <w:t>：</w:t>
            </w:r>
            <w:r>
              <w:rPr>
                <w:rFonts w:hint="eastAsia"/>
              </w:rPr>
              <w:t>沉淀池</w:t>
            </w:r>
            <w:r>
              <w:t>产生的污泥量约为1t/a，收集后</w:t>
            </w:r>
            <w:r>
              <w:rPr>
                <w:rFonts w:hint="eastAsia"/>
              </w:rPr>
              <w:t>交由</w:t>
            </w:r>
            <w:r>
              <w:t>环卫部门处理。</w:t>
            </w:r>
          </w:p>
          <w:p w14:paraId="67838785">
            <w:pPr>
              <w:pStyle w:val="17"/>
              <w:ind w:firstLine="480"/>
            </w:pPr>
            <w:r>
              <w:t>④</w:t>
            </w:r>
            <w:r>
              <w:rPr>
                <w:rFonts w:hint="eastAsia"/>
              </w:rPr>
              <w:t>锅炉灰渣</w:t>
            </w:r>
            <w:r>
              <w:t>：本项目生物质锅炉使用过程中会产生少量灰渣，根据《污染源源强核算技术指南 锅炉》（HJ991-2018），燃生物质锅炉灰渣产生量可根据灰渣平衡按下式计算。</w:t>
            </w:r>
          </w:p>
          <w:p w14:paraId="25889C2C">
            <w:pPr>
              <w:pStyle w:val="17"/>
              <w:ind w:firstLine="0" w:firstLineChars="0"/>
              <w:jc w:val="center"/>
            </w:pPr>
            <w:r>
              <w:rPr>
                <w:bCs/>
                <w:color w:val="000000" w:themeColor="text1"/>
                <w14:textFill>
                  <w14:solidFill>
                    <w14:schemeClr w14:val="tx1"/>
                  </w14:solidFill>
                </w14:textFill>
              </w:rPr>
              <w:object>
                <v:shape id="_x0000_i1028" o:spt="75" type="#_x0000_t75" style="height:32.25pt;width:140.25pt;" o:ole="t" filled="f" o:preferrelative="t" stroked="f" coordsize="21600,21600">
                  <v:path/>
                  <v:fill on="f" focussize="0,0"/>
                  <v:stroke on="f" joinstyle="miter"/>
                  <v:imagedata r:id="rId21" o:title=""/>
                  <o:lock v:ext="edit" aspectratio="t"/>
                  <w10:wrap type="none"/>
                  <w10:anchorlock/>
                </v:shape>
                <o:OLEObject Type="Embed" ProgID="Equation.DSMT4" ShapeID="_x0000_i1028" DrawAspect="Content" ObjectID="_1468075728" r:id="rId20">
                  <o:LockedField>false</o:LockedField>
                </o:OLEObject>
              </w:object>
            </w:r>
          </w:p>
          <w:p w14:paraId="213D959A">
            <w:pPr>
              <w:pStyle w:val="17"/>
              <w:ind w:firstLine="480"/>
            </w:pPr>
            <w:r>
              <w:t>式中：E</w:t>
            </w:r>
            <w:r>
              <w:rPr>
                <w:vertAlign w:val="subscript"/>
              </w:rPr>
              <w:t>hz</w:t>
            </w:r>
            <w:r>
              <w:t>——核算时段内灰渣产生量，t；</w:t>
            </w:r>
          </w:p>
          <w:p w14:paraId="6760C9B8">
            <w:pPr>
              <w:pStyle w:val="17"/>
              <w:ind w:firstLine="1200" w:firstLineChars="500"/>
            </w:pPr>
            <w:r>
              <w:t>R——核算时段内锅炉燃料耗量，t；</w:t>
            </w:r>
          </w:p>
          <w:p w14:paraId="74BC2598">
            <w:pPr>
              <w:pStyle w:val="17"/>
              <w:ind w:firstLine="1200" w:firstLineChars="500"/>
            </w:pPr>
            <w:r>
              <w:t>A</w:t>
            </w:r>
            <w:r>
              <w:rPr>
                <w:vertAlign w:val="subscript"/>
              </w:rPr>
              <w:t>ar</w:t>
            </w:r>
            <w:r>
              <w:t>——收到基灰分的质量分数，%；</w:t>
            </w:r>
          </w:p>
          <w:p w14:paraId="73CFA85F">
            <w:pPr>
              <w:pStyle w:val="17"/>
              <w:ind w:firstLine="1200" w:firstLineChars="500"/>
            </w:pPr>
            <w:r>
              <w:t>q</w:t>
            </w:r>
            <w:r>
              <w:rPr>
                <w:vertAlign w:val="subscript"/>
              </w:rPr>
              <w:t>4</w:t>
            </w:r>
            <w:r>
              <w:t>——锅炉机械不完全燃烧热损失，%；</w:t>
            </w:r>
          </w:p>
          <w:p w14:paraId="25C97646">
            <w:pPr>
              <w:pStyle w:val="17"/>
              <w:ind w:firstLine="1200" w:firstLineChars="500"/>
            </w:pPr>
            <w:r>
              <w:t>Q</w:t>
            </w:r>
            <w:r>
              <w:rPr>
                <w:vertAlign w:val="subscript"/>
              </w:rPr>
              <w:t>net,ar</w:t>
            </w:r>
            <w:r>
              <w:t>——收到基低位发热量，kJ/kg。</w:t>
            </w:r>
          </w:p>
          <w:p w14:paraId="794470F2">
            <w:pPr>
              <w:pStyle w:val="17"/>
              <w:ind w:firstLine="480"/>
            </w:pPr>
            <w:r>
              <w:t>结合生物质成型燃料成分分析，经计算，本项目灰渣产生量约</w:t>
            </w:r>
            <w:r>
              <w:rPr>
                <w:rFonts w:hint="eastAsia"/>
                <w:lang w:val="en-US" w:eastAsia="zh-CN"/>
              </w:rPr>
              <w:t>91.73</w:t>
            </w:r>
            <w:r>
              <w:t>t/a。</w:t>
            </w:r>
            <w:r>
              <w:rPr>
                <w:rFonts w:hint="eastAsia"/>
              </w:rPr>
              <w:t>收集后交由周边农户做肥料。</w:t>
            </w:r>
          </w:p>
          <w:p w14:paraId="4BAA4D5D">
            <w:pPr>
              <w:pStyle w:val="17"/>
              <w:ind w:firstLine="480"/>
            </w:pPr>
            <w:r>
              <w:t>⑤</w:t>
            </w:r>
            <w:r>
              <w:rPr>
                <w:rFonts w:hint="eastAsia"/>
              </w:rPr>
              <w:t>除尘</w:t>
            </w:r>
            <w:r>
              <w:rPr>
                <w:rFonts w:hint="eastAsia"/>
                <w:lang w:val="en-US" w:eastAsia="zh-CN"/>
              </w:rPr>
              <w:t>器</w:t>
            </w:r>
            <w:r>
              <w:rPr>
                <w:rFonts w:hint="eastAsia"/>
              </w:rPr>
              <w:t>收集的粉尘：根据废气污染源源强分析，收集的粉尘量为</w:t>
            </w:r>
            <w:r>
              <w:rPr>
                <w:rFonts w:hint="eastAsia"/>
                <w:lang w:val="en-US" w:eastAsia="zh-CN"/>
              </w:rPr>
              <w:t>1.02</w:t>
            </w:r>
            <w:r>
              <w:rPr>
                <w:rFonts w:hint="eastAsia"/>
              </w:rPr>
              <w:t xml:space="preserve">t/a，收集后交由周边农户做肥料。 </w:t>
            </w:r>
          </w:p>
          <w:p w14:paraId="453131B5">
            <w:pPr>
              <w:pStyle w:val="17"/>
              <w:ind w:firstLine="480"/>
            </w:pPr>
            <w:r>
              <w:t>⑥</w:t>
            </w:r>
            <w:r>
              <w:rPr>
                <w:rFonts w:hint="eastAsia"/>
              </w:rPr>
              <w:t>废包装材料：主要包括浸泡粉和浸泡液包装袋，产生量约为0.02t/a，收集后交由环卫部门处理。</w:t>
            </w:r>
          </w:p>
          <w:p w14:paraId="1B4058EE">
            <w:pPr>
              <w:pStyle w:val="17"/>
              <w:ind w:firstLine="480"/>
            </w:pPr>
            <w:r>
              <w:t>⑦纯水制备废滤芯：纯水制备中会产生废滤芯，产生量约为0.</w:t>
            </w:r>
            <w:r>
              <w:rPr>
                <w:rFonts w:hint="eastAsia"/>
              </w:rPr>
              <w:t>1</w:t>
            </w:r>
            <w:r>
              <w:t>t/a，该部分固废由纯水设备厂家回收。</w:t>
            </w:r>
          </w:p>
          <w:p w14:paraId="63BD2CE4">
            <w:pPr>
              <w:pStyle w:val="17"/>
              <w:ind w:firstLine="480"/>
            </w:pPr>
            <w:r>
              <w:t>⑧生活垃圾：本项目劳动定员</w:t>
            </w:r>
            <w:r>
              <w:rPr>
                <w:rFonts w:hint="eastAsia"/>
              </w:rPr>
              <w:t>15</w:t>
            </w:r>
            <w:r>
              <w:t>人，年工作天数为2</w:t>
            </w:r>
            <w:r>
              <w:rPr>
                <w:rFonts w:hint="eastAsia"/>
              </w:rPr>
              <w:t>0</w:t>
            </w:r>
            <w:r>
              <w:t>0天，在生产营运期间生活垃圾产生系数取1kg/人•天，因此，项目生活垃圾产生量为</w:t>
            </w:r>
            <w:r>
              <w:rPr>
                <w:rFonts w:hint="eastAsia"/>
              </w:rPr>
              <w:t>3</w:t>
            </w:r>
            <w:r>
              <w:t>t/a</w:t>
            </w:r>
            <w:r>
              <w:rPr>
                <w:rFonts w:hint="eastAsia"/>
              </w:rPr>
              <w:t>（15</w:t>
            </w:r>
            <w:r>
              <w:t>kg/d</w:t>
            </w:r>
            <w:r>
              <w:rPr>
                <w:rFonts w:hint="eastAsia"/>
              </w:rPr>
              <w:t>），收集后交由环卫部门处理。</w:t>
            </w:r>
          </w:p>
          <w:p w14:paraId="276F678D">
            <w:pPr>
              <w:pStyle w:val="18"/>
            </w:pPr>
            <w:r>
              <w:rPr>
                <w:rFonts w:hint="eastAsia"/>
              </w:rPr>
              <w:t>表4-12  固体废物产生、处理情况表</w:t>
            </w:r>
          </w:p>
          <w:tbl>
            <w:tblPr>
              <w:tblStyle w:val="12"/>
              <w:tblW w:w="7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877"/>
              <w:gridCol w:w="720"/>
              <w:gridCol w:w="1460"/>
              <w:gridCol w:w="652"/>
              <w:gridCol w:w="655"/>
              <w:gridCol w:w="709"/>
              <w:gridCol w:w="872"/>
              <w:gridCol w:w="1276"/>
            </w:tblGrid>
            <w:tr w14:paraId="48B4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Align w:val="center"/>
                </w:tcPr>
                <w:p w14:paraId="71C25EF1">
                  <w:pPr>
                    <w:pStyle w:val="15"/>
                  </w:pPr>
                  <w:r>
                    <w:rPr>
                      <w:rFonts w:hint="eastAsia"/>
                    </w:rPr>
                    <w:t>属性</w:t>
                  </w:r>
                </w:p>
              </w:tc>
              <w:tc>
                <w:tcPr>
                  <w:tcW w:w="877" w:type="dxa"/>
                  <w:vAlign w:val="center"/>
                </w:tcPr>
                <w:p w14:paraId="68704981">
                  <w:pPr>
                    <w:pStyle w:val="15"/>
                  </w:pPr>
                  <w:r>
                    <w:rPr>
                      <w:rFonts w:hint="eastAsia"/>
                    </w:rPr>
                    <w:t>污染物</w:t>
                  </w:r>
                </w:p>
              </w:tc>
              <w:tc>
                <w:tcPr>
                  <w:tcW w:w="720" w:type="dxa"/>
                  <w:vAlign w:val="center"/>
                </w:tcPr>
                <w:p w14:paraId="3B73B89C">
                  <w:pPr>
                    <w:pStyle w:val="15"/>
                  </w:pPr>
                  <w:r>
                    <w:rPr>
                      <w:rFonts w:hint="eastAsia"/>
                    </w:rPr>
                    <w:t>产生环节</w:t>
                  </w:r>
                </w:p>
              </w:tc>
              <w:tc>
                <w:tcPr>
                  <w:tcW w:w="1460" w:type="dxa"/>
                  <w:vAlign w:val="center"/>
                </w:tcPr>
                <w:p w14:paraId="093C5A9C">
                  <w:pPr>
                    <w:pStyle w:val="15"/>
                  </w:pPr>
                  <w:r>
                    <w:rPr>
                      <w:rFonts w:hint="eastAsia"/>
                    </w:rPr>
                    <w:t>编码</w:t>
                  </w:r>
                </w:p>
              </w:tc>
              <w:tc>
                <w:tcPr>
                  <w:tcW w:w="652" w:type="dxa"/>
                  <w:vAlign w:val="center"/>
                </w:tcPr>
                <w:p w14:paraId="5376C89B">
                  <w:pPr>
                    <w:pStyle w:val="15"/>
                  </w:pPr>
                  <w:r>
                    <w:rPr>
                      <w:rFonts w:hint="eastAsia"/>
                    </w:rPr>
                    <w:t>毒害成分</w:t>
                  </w:r>
                </w:p>
              </w:tc>
              <w:tc>
                <w:tcPr>
                  <w:tcW w:w="655" w:type="dxa"/>
                  <w:vAlign w:val="center"/>
                </w:tcPr>
                <w:p w14:paraId="0DE7473A">
                  <w:pPr>
                    <w:pStyle w:val="15"/>
                  </w:pPr>
                  <w:r>
                    <w:rPr>
                      <w:rFonts w:hint="eastAsia"/>
                    </w:rPr>
                    <w:t>形态</w:t>
                  </w:r>
                </w:p>
              </w:tc>
              <w:tc>
                <w:tcPr>
                  <w:tcW w:w="709" w:type="dxa"/>
                  <w:vAlign w:val="center"/>
                </w:tcPr>
                <w:p w14:paraId="0F50C28C">
                  <w:pPr>
                    <w:pStyle w:val="15"/>
                  </w:pPr>
                  <w:r>
                    <w:rPr>
                      <w:rFonts w:hint="eastAsia"/>
                    </w:rPr>
                    <w:t>危险特性</w:t>
                  </w:r>
                </w:p>
              </w:tc>
              <w:tc>
                <w:tcPr>
                  <w:tcW w:w="872" w:type="dxa"/>
                  <w:vAlign w:val="center"/>
                </w:tcPr>
                <w:p w14:paraId="5271DF87">
                  <w:pPr>
                    <w:pStyle w:val="15"/>
                  </w:pPr>
                  <w:r>
                    <w:rPr>
                      <w:rFonts w:hint="eastAsia"/>
                    </w:rPr>
                    <w:t>产生量（t/a）</w:t>
                  </w:r>
                </w:p>
              </w:tc>
              <w:tc>
                <w:tcPr>
                  <w:tcW w:w="1276" w:type="dxa"/>
                  <w:vAlign w:val="center"/>
                </w:tcPr>
                <w:p w14:paraId="1475CD8B">
                  <w:pPr>
                    <w:pStyle w:val="15"/>
                  </w:pPr>
                  <w:r>
                    <w:rPr>
                      <w:rFonts w:hint="eastAsia"/>
                    </w:rPr>
                    <w:t>处置措施</w:t>
                  </w:r>
                </w:p>
              </w:tc>
            </w:tr>
            <w:tr w14:paraId="735CA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restart"/>
                  <w:vAlign w:val="center"/>
                </w:tcPr>
                <w:p w14:paraId="47207F7A">
                  <w:pPr>
                    <w:pStyle w:val="15"/>
                  </w:pPr>
                  <w:r>
                    <w:rPr>
                      <w:rFonts w:hint="eastAsia"/>
                    </w:rPr>
                    <w:t>一般固废</w:t>
                  </w:r>
                </w:p>
              </w:tc>
              <w:tc>
                <w:tcPr>
                  <w:tcW w:w="877" w:type="dxa"/>
                  <w:vAlign w:val="center"/>
                </w:tcPr>
                <w:p w14:paraId="1F2BD1CD">
                  <w:pPr>
                    <w:pStyle w:val="15"/>
                  </w:pPr>
                  <w:r>
                    <w:rPr>
                      <w:rFonts w:hint="eastAsia"/>
                    </w:rPr>
                    <w:t>食物残渣</w:t>
                  </w:r>
                </w:p>
              </w:tc>
              <w:tc>
                <w:tcPr>
                  <w:tcW w:w="720" w:type="dxa"/>
                  <w:vAlign w:val="center"/>
                </w:tcPr>
                <w:p w14:paraId="550C369E">
                  <w:pPr>
                    <w:pStyle w:val="15"/>
                  </w:pPr>
                  <w:r>
                    <w:rPr>
                      <w:rFonts w:hint="eastAsia"/>
                    </w:rPr>
                    <w:t>生产过程</w:t>
                  </w:r>
                </w:p>
              </w:tc>
              <w:tc>
                <w:tcPr>
                  <w:tcW w:w="1460" w:type="dxa"/>
                  <w:vAlign w:val="center"/>
                </w:tcPr>
                <w:p w14:paraId="43380F11">
                  <w:pPr>
                    <w:pStyle w:val="15"/>
                  </w:pPr>
                  <w:r>
                    <w:rPr>
                      <w:rFonts w:hint="eastAsia"/>
                    </w:rPr>
                    <w:t>SW61 900-002-S61</w:t>
                  </w:r>
                </w:p>
              </w:tc>
              <w:tc>
                <w:tcPr>
                  <w:tcW w:w="652" w:type="dxa"/>
                  <w:vAlign w:val="center"/>
                </w:tcPr>
                <w:p w14:paraId="4559DEB6">
                  <w:pPr>
                    <w:pStyle w:val="15"/>
                  </w:pPr>
                  <w:r>
                    <w:rPr>
                      <w:rFonts w:hint="eastAsia"/>
                    </w:rPr>
                    <w:t>/</w:t>
                  </w:r>
                </w:p>
              </w:tc>
              <w:tc>
                <w:tcPr>
                  <w:tcW w:w="655" w:type="dxa"/>
                  <w:vAlign w:val="center"/>
                </w:tcPr>
                <w:p w14:paraId="06726C72">
                  <w:pPr>
                    <w:pStyle w:val="15"/>
                  </w:pPr>
                  <w:r>
                    <w:rPr>
                      <w:rFonts w:hint="eastAsia"/>
                    </w:rPr>
                    <w:t>固</w:t>
                  </w:r>
                </w:p>
              </w:tc>
              <w:tc>
                <w:tcPr>
                  <w:tcW w:w="709" w:type="dxa"/>
                  <w:vAlign w:val="center"/>
                </w:tcPr>
                <w:p w14:paraId="210DD2EA">
                  <w:pPr>
                    <w:pStyle w:val="15"/>
                  </w:pPr>
                  <w:r>
                    <w:rPr>
                      <w:rFonts w:hint="eastAsia"/>
                    </w:rPr>
                    <w:t>/</w:t>
                  </w:r>
                </w:p>
              </w:tc>
              <w:tc>
                <w:tcPr>
                  <w:tcW w:w="872" w:type="dxa"/>
                  <w:vAlign w:val="center"/>
                </w:tcPr>
                <w:p w14:paraId="7FC0F10A">
                  <w:pPr>
                    <w:pStyle w:val="15"/>
                  </w:pPr>
                  <w:r>
                    <w:rPr>
                      <w:rFonts w:hint="eastAsia"/>
                    </w:rPr>
                    <w:t>15</w:t>
                  </w:r>
                </w:p>
              </w:tc>
              <w:tc>
                <w:tcPr>
                  <w:tcW w:w="1276" w:type="dxa"/>
                  <w:vMerge w:val="restart"/>
                  <w:vAlign w:val="center"/>
                </w:tcPr>
                <w:p w14:paraId="5BE69446">
                  <w:pPr>
                    <w:pStyle w:val="15"/>
                  </w:pPr>
                  <w:r>
                    <w:t>交由餐厨垃圾处理公司等有资质单位处理</w:t>
                  </w:r>
                </w:p>
              </w:tc>
            </w:tr>
            <w:tr w14:paraId="27C30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vAlign w:val="center"/>
                </w:tcPr>
                <w:p w14:paraId="411549CC">
                  <w:pPr>
                    <w:pStyle w:val="15"/>
                  </w:pPr>
                </w:p>
              </w:tc>
              <w:tc>
                <w:tcPr>
                  <w:tcW w:w="877" w:type="dxa"/>
                  <w:vAlign w:val="center"/>
                </w:tcPr>
                <w:p w14:paraId="10615D85">
                  <w:pPr>
                    <w:pStyle w:val="15"/>
                  </w:pPr>
                  <w:r>
                    <w:rPr>
                      <w:rFonts w:hint="eastAsia"/>
                    </w:rPr>
                    <w:t>废油脂</w:t>
                  </w:r>
                </w:p>
              </w:tc>
              <w:tc>
                <w:tcPr>
                  <w:tcW w:w="720" w:type="dxa"/>
                  <w:vMerge w:val="restart"/>
                  <w:vAlign w:val="center"/>
                </w:tcPr>
                <w:p w14:paraId="388714C0">
                  <w:pPr>
                    <w:pStyle w:val="15"/>
                  </w:pPr>
                  <w:r>
                    <w:rPr>
                      <w:rFonts w:hint="eastAsia"/>
                    </w:rPr>
                    <w:t>废水处理</w:t>
                  </w:r>
                </w:p>
              </w:tc>
              <w:tc>
                <w:tcPr>
                  <w:tcW w:w="1460" w:type="dxa"/>
                  <w:vAlign w:val="center"/>
                </w:tcPr>
                <w:p w14:paraId="5A829832">
                  <w:pPr>
                    <w:pStyle w:val="15"/>
                  </w:pPr>
                  <w:r>
                    <w:rPr>
                      <w:rFonts w:hint="eastAsia"/>
                    </w:rPr>
                    <w:t>SW61 900-002-S61</w:t>
                  </w:r>
                </w:p>
              </w:tc>
              <w:tc>
                <w:tcPr>
                  <w:tcW w:w="652" w:type="dxa"/>
                  <w:vAlign w:val="center"/>
                </w:tcPr>
                <w:p w14:paraId="65CF237E">
                  <w:pPr>
                    <w:pStyle w:val="15"/>
                  </w:pPr>
                  <w:r>
                    <w:rPr>
                      <w:rFonts w:hint="eastAsia"/>
                    </w:rPr>
                    <w:t>/</w:t>
                  </w:r>
                </w:p>
              </w:tc>
              <w:tc>
                <w:tcPr>
                  <w:tcW w:w="655" w:type="dxa"/>
                  <w:vAlign w:val="center"/>
                </w:tcPr>
                <w:p w14:paraId="34CB7AE6">
                  <w:pPr>
                    <w:pStyle w:val="15"/>
                  </w:pPr>
                  <w:r>
                    <w:rPr>
                      <w:rFonts w:hint="eastAsia"/>
                    </w:rPr>
                    <w:t>固/液</w:t>
                  </w:r>
                </w:p>
              </w:tc>
              <w:tc>
                <w:tcPr>
                  <w:tcW w:w="709" w:type="dxa"/>
                  <w:vAlign w:val="center"/>
                </w:tcPr>
                <w:p w14:paraId="76FF31E2">
                  <w:pPr>
                    <w:pStyle w:val="15"/>
                  </w:pPr>
                  <w:r>
                    <w:rPr>
                      <w:rFonts w:hint="eastAsia"/>
                    </w:rPr>
                    <w:t>/</w:t>
                  </w:r>
                </w:p>
              </w:tc>
              <w:tc>
                <w:tcPr>
                  <w:tcW w:w="872" w:type="dxa"/>
                  <w:vAlign w:val="center"/>
                </w:tcPr>
                <w:p w14:paraId="25F8B41A">
                  <w:pPr>
                    <w:pStyle w:val="15"/>
                  </w:pPr>
                  <w:r>
                    <w:rPr>
                      <w:rFonts w:hint="eastAsia"/>
                    </w:rPr>
                    <w:t>3</w:t>
                  </w:r>
                </w:p>
              </w:tc>
              <w:tc>
                <w:tcPr>
                  <w:tcW w:w="1276" w:type="dxa"/>
                  <w:vMerge w:val="continue"/>
                  <w:vAlign w:val="center"/>
                </w:tcPr>
                <w:p w14:paraId="4BE5E8F4">
                  <w:pPr>
                    <w:pStyle w:val="15"/>
                  </w:pPr>
                </w:p>
              </w:tc>
            </w:tr>
            <w:tr w14:paraId="300C6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vAlign w:val="center"/>
                </w:tcPr>
                <w:p w14:paraId="14B513B9">
                  <w:pPr>
                    <w:pStyle w:val="15"/>
                  </w:pPr>
                </w:p>
              </w:tc>
              <w:tc>
                <w:tcPr>
                  <w:tcW w:w="877" w:type="dxa"/>
                  <w:shd w:val="clear" w:color="auto" w:fill="auto"/>
                  <w:vAlign w:val="center"/>
                </w:tcPr>
                <w:p w14:paraId="6CDCBAAE">
                  <w:pPr>
                    <w:pStyle w:val="15"/>
                  </w:pPr>
                  <w:r>
                    <w:t>沉渣</w:t>
                  </w:r>
                </w:p>
              </w:tc>
              <w:tc>
                <w:tcPr>
                  <w:tcW w:w="720" w:type="dxa"/>
                  <w:vMerge w:val="continue"/>
                  <w:shd w:val="clear" w:color="auto" w:fill="auto"/>
                  <w:vAlign w:val="center"/>
                </w:tcPr>
                <w:p w14:paraId="51677BC8">
                  <w:pPr>
                    <w:pStyle w:val="15"/>
                  </w:pPr>
                </w:p>
              </w:tc>
              <w:tc>
                <w:tcPr>
                  <w:tcW w:w="1460" w:type="dxa"/>
                  <w:shd w:val="clear" w:color="auto" w:fill="auto"/>
                  <w:vAlign w:val="center"/>
                </w:tcPr>
                <w:p w14:paraId="4515FD37">
                  <w:pPr>
                    <w:pStyle w:val="15"/>
                  </w:pPr>
                  <w:r>
                    <w:rPr>
                      <w:rFonts w:hint="eastAsia"/>
                    </w:rPr>
                    <w:t>SW07  900-099-S07</w:t>
                  </w:r>
                </w:p>
              </w:tc>
              <w:tc>
                <w:tcPr>
                  <w:tcW w:w="652" w:type="dxa"/>
                  <w:vAlign w:val="center"/>
                </w:tcPr>
                <w:p w14:paraId="4B1FED56">
                  <w:pPr>
                    <w:pStyle w:val="15"/>
                  </w:pPr>
                  <w:r>
                    <w:rPr>
                      <w:rFonts w:hint="eastAsia"/>
                    </w:rPr>
                    <w:t>/</w:t>
                  </w:r>
                </w:p>
              </w:tc>
              <w:tc>
                <w:tcPr>
                  <w:tcW w:w="655" w:type="dxa"/>
                  <w:vAlign w:val="center"/>
                </w:tcPr>
                <w:p w14:paraId="573A05F2">
                  <w:pPr>
                    <w:pStyle w:val="15"/>
                  </w:pPr>
                  <w:r>
                    <w:rPr>
                      <w:rFonts w:hint="eastAsia"/>
                    </w:rPr>
                    <w:t>固</w:t>
                  </w:r>
                </w:p>
              </w:tc>
              <w:tc>
                <w:tcPr>
                  <w:tcW w:w="709" w:type="dxa"/>
                  <w:vAlign w:val="center"/>
                </w:tcPr>
                <w:p w14:paraId="2BDD91F8">
                  <w:pPr>
                    <w:pStyle w:val="15"/>
                  </w:pPr>
                  <w:r>
                    <w:rPr>
                      <w:rFonts w:hint="eastAsia"/>
                    </w:rPr>
                    <w:t>/</w:t>
                  </w:r>
                </w:p>
              </w:tc>
              <w:tc>
                <w:tcPr>
                  <w:tcW w:w="872" w:type="dxa"/>
                  <w:vAlign w:val="center"/>
                </w:tcPr>
                <w:p w14:paraId="76294E3A">
                  <w:pPr>
                    <w:pStyle w:val="15"/>
                  </w:pPr>
                  <w:r>
                    <w:rPr>
                      <w:rFonts w:hint="eastAsia"/>
                    </w:rPr>
                    <w:t>1</w:t>
                  </w:r>
                </w:p>
              </w:tc>
              <w:tc>
                <w:tcPr>
                  <w:tcW w:w="1276" w:type="dxa"/>
                  <w:vAlign w:val="center"/>
                </w:tcPr>
                <w:p w14:paraId="4CF9D503">
                  <w:pPr>
                    <w:pStyle w:val="15"/>
                  </w:pPr>
                  <w:r>
                    <w:t>交由环卫部门处理</w:t>
                  </w:r>
                </w:p>
              </w:tc>
            </w:tr>
            <w:tr w14:paraId="527E3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vAlign w:val="center"/>
                </w:tcPr>
                <w:p w14:paraId="201B122F">
                  <w:pPr>
                    <w:pStyle w:val="15"/>
                  </w:pPr>
                </w:p>
              </w:tc>
              <w:tc>
                <w:tcPr>
                  <w:tcW w:w="877" w:type="dxa"/>
                  <w:vAlign w:val="center"/>
                </w:tcPr>
                <w:p w14:paraId="3FB7A8CC">
                  <w:pPr>
                    <w:pStyle w:val="15"/>
                  </w:pPr>
                  <w:r>
                    <w:rPr>
                      <w:rFonts w:hint="eastAsia"/>
                    </w:rPr>
                    <w:t>锅炉灰渣</w:t>
                  </w:r>
                </w:p>
              </w:tc>
              <w:tc>
                <w:tcPr>
                  <w:tcW w:w="720" w:type="dxa"/>
                  <w:vAlign w:val="center"/>
                </w:tcPr>
                <w:p w14:paraId="6908078F">
                  <w:pPr>
                    <w:pStyle w:val="15"/>
                  </w:pPr>
                  <w:r>
                    <w:rPr>
                      <w:rFonts w:hint="eastAsia"/>
                    </w:rPr>
                    <w:t>锅炉</w:t>
                  </w:r>
                </w:p>
              </w:tc>
              <w:tc>
                <w:tcPr>
                  <w:tcW w:w="1460" w:type="dxa"/>
                  <w:vAlign w:val="center"/>
                </w:tcPr>
                <w:p w14:paraId="73E2717B">
                  <w:pPr>
                    <w:pStyle w:val="15"/>
                  </w:pPr>
                  <w:r>
                    <w:rPr>
                      <w:rFonts w:hint="eastAsia"/>
                    </w:rPr>
                    <w:t>SW59 900-099-S59</w:t>
                  </w:r>
                </w:p>
              </w:tc>
              <w:tc>
                <w:tcPr>
                  <w:tcW w:w="652" w:type="dxa"/>
                  <w:vAlign w:val="center"/>
                </w:tcPr>
                <w:p w14:paraId="013F690A">
                  <w:pPr>
                    <w:pStyle w:val="15"/>
                  </w:pPr>
                  <w:r>
                    <w:rPr>
                      <w:rFonts w:hint="eastAsia"/>
                    </w:rPr>
                    <w:t>/</w:t>
                  </w:r>
                </w:p>
              </w:tc>
              <w:tc>
                <w:tcPr>
                  <w:tcW w:w="655" w:type="dxa"/>
                  <w:vAlign w:val="center"/>
                </w:tcPr>
                <w:p w14:paraId="4B85AB78">
                  <w:pPr>
                    <w:pStyle w:val="15"/>
                  </w:pPr>
                  <w:r>
                    <w:rPr>
                      <w:rFonts w:hint="eastAsia"/>
                    </w:rPr>
                    <w:t>固</w:t>
                  </w:r>
                </w:p>
              </w:tc>
              <w:tc>
                <w:tcPr>
                  <w:tcW w:w="709" w:type="dxa"/>
                  <w:vAlign w:val="center"/>
                </w:tcPr>
                <w:p w14:paraId="3B94B8DD">
                  <w:pPr>
                    <w:pStyle w:val="15"/>
                  </w:pPr>
                  <w:r>
                    <w:rPr>
                      <w:rFonts w:hint="eastAsia"/>
                    </w:rPr>
                    <w:t>/</w:t>
                  </w:r>
                </w:p>
              </w:tc>
              <w:tc>
                <w:tcPr>
                  <w:tcW w:w="872" w:type="dxa"/>
                  <w:vAlign w:val="center"/>
                </w:tcPr>
                <w:p w14:paraId="409363E0">
                  <w:pPr>
                    <w:pStyle w:val="15"/>
                    <w:rPr>
                      <w:rFonts w:hint="default" w:eastAsia="宋体"/>
                      <w:lang w:val="en-US" w:eastAsia="zh-CN"/>
                    </w:rPr>
                  </w:pPr>
                  <w:r>
                    <w:rPr>
                      <w:rFonts w:hint="eastAsia"/>
                      <w:lang w:val="en-US" w:eastAsia="zh-CN"/>
                    </w:rPr>
                    <w:t>91.73</w:t>
                  </w:r>
                </w:p>
              </w:tc>
              <w:tc>
                <w:tcPr>
                  <w:tcW w:w="1276" w:type="dxa"/>
                  <w:vMerge w:val="restart"/>
                  <w:vAlign w:val="center"/>
                </w:tcPr>
                <w:p w14:paraId="27150E8A">
                  <w:pPr>
                    <w:pStyle w:val="15"/>
                  </w:pPr>
                  <w:r>
                    <w:t>收集后交由周边农户做肥料</w:t>
                  </w:r>
                </w:p>
              </w:tc>
            </w:tr>
            <w:tr w14:paraId="6C2C7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vAlign w:val="center"/>
                </w:tcPr>
                <w:p w14:paraId="514ADA2F">
                  <w:pPr>
                    <w:pStyle w:val="15"/>
                  </w:pPr>
                </w:p>
              </w:tc>
              <w:tc>
                <w:tcPr>
                  <w:tcW w:w="877" w:type="dxa"/>
                  <w:vAlign w:val="center"/>
                </w:tcPr>
                <w:p w14:paraId="5C9CED75">
                  <w:pPr>
                    <w:pStyle w:val="15"/>
                  </w:pPr>
                  <w:r>
                    <w:rPr>
                      <w:rFonts w:hint="eastAsia"/>
                    </w:rPr>
                    <w:t>除尘</w:t>
                  </w:r>
                  <w:r>
                    <w:rPr>
                      <w:rFonts w:hint="eastAsia"/>
                      <w:lang w:val="en-US" w:eastAsia="zh-CN"/>
                    </w:rPr>
                    <w:t>器</w:t>
                  </w:r>
                  <w:r>
                    <w:rPr>
                      <w:rFonts w:hint="eastAsia"/>
                    </w:rPr>
                    <w:t>收集的粉尘</w:t>
                  </w:r>
                </w:p>
              </w:tc>
              <w:tc>
                <w:tcPr>
                  <w:tcW w:w="720" w:type="dxa"/>
                  <w:vAlign w:val="center"/>
                </w:tcPr>
                <w:p w14:paraId="60F192D2">
                  <w:pPr>
                    <w:pStyle w:val="15"/>
                  </w:pPr>
                  <w:r>
                    <w:rPr>
                      <w:rFonts w:hint="eastAsia"/>
                    </w:rPr>
                    <w:t>废气处理</w:t>
                  </w:r>
                </w:p>
              </w:tc>
              <w:tc>
                <w:tcPr>
                  <w:tcW w:w="1460" w:type="dxa"/>
                  <w:vAlign w:val="center"/>
                </w:tcPr>
                <w:p w14:paraId="323F7A3F">
                  <w:pPr>
                    <w:pStyle w:val="15"/>
                  </w:pPr>
                  <w:r>
                    <w:rPr>
                      <w:rFonts w:hint="eastAsia"/>
                    </w:rPr>
                    <w:t>SW59 900-099-S59</w:t>
                  </w:r>
                </w:p>
              </w:tc>
              <w:tc>
                <w:tcPr>
                  <w:tcW w:w="652" w:type="dxa"/>
                  <w:vAlign w:val="center"/>
                </w:tcPr>
                <w:p w14:paraId="1C2D6413">
                  <w:pPr>
                    <w:pStyle w:val="15"/>
                  </w:pPr>
                  <w:r>
                    <w:rPr>
                      <w:rFonts w:hint="eastAsia"/>
                    </w:rPr>
                    <w:t>/</w:t>
                  </w:r>
                </w:p>
              </w:tc>
              <w:tc>
                <w:tcPr>
                  <w:tcW w:w="655" w:type="dxa"/>
                  <w:vAlign w:val="center"/>
                </w:tcPr>
                <w:p w14:paraId="1DC1A7B9">
                  <w:pPr>
                    <w:pStyle w:val="15"/>
                  </w:pPr>
                  <w:r>
                    <w:rPr>
                      <w:rFonts w:hint="eastAsia"/>
                    </w:rPr>
                    <w:t>固</w:t>
                  </w:r>
                </w:p>
              </w:tc>
              <w:tc>
                <w:tcPr>
                  <w:tcW w:w="709" w:type="dxa"/>
                  <w:vAlign w:val="center"/>
                </w:tcPr>
                <w:p w14:paraId="0A666B08">
                  <w:pPr>
                    <w:pStyle w:val="15"/>
                  </w:pPr>
                  <w:r>
                    <w:rPr>
                      <w:rFonts w:hint="eastAsia"/>
                    </w:rPr>
                    <w:t>/</w:t>
                  </w:r>
                </w:p>
              </w:tc>
              <w:tc>
                <w:tcPr>
                  <w:tcW w:w="872" w:type="dxa"/>
                  <w:vAlign w:val="center"/>
                </w:tcPr>
                <w:p w14:paraId="266DA3E6">
                  <w:pPr>
                    <w:pStyle w:val="15"/>
                    <w:rPr>
                      <w:rFonts w:hint="default" w:eastAsia="宋体"/>
                      <w:lang w:val="en-US" w:eastAsia="zh-CN"/>
                    </w:rPr>
                  </w:pPr>
                  <w:r>
                    <w:rPr>
                      <w:rFonts w:hint="eastAsia"/>
                      <w:lang w:val="en-US" w:eastAsia="zh-CN"/>
                    </w:rPr>
                    <w:t>1.02</w:t>
                  </w:r>
                </w:p>
              </w:tc>
              <w:tc>
                <w:tcPr>
                  <w:tcW w:w="1276" w:type="dxa"/>
                  <w:vMerge w:val="continue"/>
                  <w:vAlign w:val="center"/>
                </w:tcPr>
                <w:p w14:paraId="154A890D">
                  <w:pPr>
                    <w:pStyle w:val="15"/>
                  </w:pPr>
                </w:p>
              </w:tc>
            </w:tr>
            <w:tr w14:paraId="308F6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vAlign w:val="center"/>
                </w:tcPr>
                <w:p w14:paraId="0883825A">
                  <w:pPr>
                    <w:pStyle w:val="15"/>
                  </w:pPr>
                </w:p>
              </w:tc>
              <w:tc>
                <w:tcPr>
                  <w:tcW w:w="877" w:type="dxa"/>
                  <w:vAlign w:val="center"/>
                </w:tcPr>
                <w:p w14:paraId="5F7E0228">
                  <w:pPr>
                    <w:pStyle w:val="15"/>
                  </w:pPr>
                  <w:r>
                    <w:rPr>
                      <w:rFonts w:hint="eastAsia"/>
                    </w:rPr>
                    <w:t>废包装材料</w:t>
                  </w:r>
                </w:p>
              </w:tc>
              <w:tc>
                <w:tcPr>
                  <w:tcW w:w="720" w:type="dxa"/>
                  <w:vMerge w:val="restart"/>
                  <w:vAlign w:val="center"/>
                </w:tcPr>
                <w:p w14:paraId="35377BF3">
                  <w:pPr>
                    <w:pStyle w:val="15"/>
                  </w:pPr>
                  <w:r>
                    <w:rPr>
                      <w:rFonts w:hint="eastAsia"/>
                    </w:rPr>
                    <w:t>生产过程</w:t>
                  </w:r>
                </w:p>
              </w:tc>
              <w:tc>
                <w:tcPr>
                  <w:tcW w:w="1460" w:type="dxa"/>
                  <w:vAlign w:val="center"/>
                </w:tcPr>
                <w:p w14:paraId="522754C8">
                  <w:pPr>
                    <w:pStyle w:val="15"/>
                  </w:pPr>
                  <w:r>
                    <w:rPr>
                      <w:rFonts w:hint="eastAsia"/>
                    </w:rPr>
                    <w:t>SW59 900-099-S59</w:t>
                  </w:r>
                </w:p>
              </w:tc>
              <w:tc>
                <w:tcPr>
                  <w:tcW w:w="652" w:type="dxa"/>
                  <w:vAlign w:val="center"/>
                </w:tcPr>
                <w:p w14:paraId="08374A8E">
                  <w:pPr>
                    <w:pStyle w:val="15"/>
                  </w:pPr>
                  <w:r>
                    <w:rPr>
                      <w:rFonts w:hint="eastAsia"/>
                    </w:rPr>
                    <w:t>/</w:t>
                  </w:r>
                </w:p>
              </w:tc>
              <w:tc>
                <w:tcPr>
                  <w:tcW w:w="655" w:type="dxa"/>
                  <w:vAlign w:val="center"/>
                </w:tcPr>
                <w:p w14:paraId="7F40A438">
                  <w:pPr>
                    <w:pStyle w:val="15"/>
                  </w:pPr>
                  <w:r>
                    <w:rPr>
                      <w:rFonts w:hint="eastAsia"/>
                    </w:rPr>
                    <w:t>固</w:t>
                  </w:r>
                </w:p>
              </w:tc>
              <w:tc>
                <w:tcPr>
                  <w:tcW w:w="709" w:type="dxa"/>
                  <w:vAlign w:val="center"/>
                </w:tcPr>
                <w:p w14:paraId="792C3FBF">
                  <w:pPr>
                    <w:pStyle w:val="15"/>
                  </w:pPr>
                  <w:r>
                    <w:rPr>
                      <w:rFonts w:hint="eastAsia"/>
                    </w:rPr>
                    <w:t>/</w:t>
                  </w:r>
                </w:p>
              </w:tc>
              <w:tc>
                <w:tcPr>
                  <w:tcW w:w="872" w:type="dxa"/>
                  <w:vAlign w:val="center"/>
                </w:tcPr>
                <w:p w14:paraId="36B54F7A">
                  <w:pPr>
                    <w:pStyle w:val="15"/>
                  </w:pPr>
                  <w:r>
                    <w:rPr>
                      <w:rFonts w:hint="eastAsia"/>
                    </w:rPr>
                    <w:t>0.02</w:t>
                  </w:r>
                </w:p>
              </w:tc>
              <w:tc>
                <w:tcPr>
                  <w:tcW w:w="1276" w:type="dxa"/>
                  <w:vAlign w:val="center"/>
                </w:tcPr>
                <w:p w14:paraId="10C48701">
                  <w:pPr>
                    <w:pStyle w:val="15"/>
                  </w:pPr>
                  <w:r>
                    <w:rPr>
                      <w:rFonts w:hint="eastAsia"/>
                    </w:rPr>
                    <w:t>交由环卫部门处理</w:t>
                  </w:r>
                </w:p>
              </w:tc>
            </w:tr>
            <w:tr w14:paraId="2533F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vAlign w:val="center"/>
                </w:tcPr>
                <w:p w14:paraId="6C56B146">
                  <w:pPr>
                    <w:pStyle w:val="15"/>
                  </w:pPr>
                </w:p>
              </w:tc>
              <w:tc>
                <w:tcPr>
                  <w:tcW w:w="877" w:type="dxa"/>
                  <w:vAlign w:val="center"/>
                </w:tcPr>
                <w:p w14:paraId="560B5DA9">
                  <w:pPr>
                    <w:pStyle w:val="15"/>
                  </w:pPr>
                  <w:r>
                    <w:rPr>
                      <w:rFonts w:hint="eastAsia"/>
                    </w:rPr>
                    <w:t>纯水制备废滤芯</w:t>
                  </w:r>
                </w:p>
              </w:tc>
              <w:tc>
                <w:tcPr>
                  <w:tcW w:w="720" w:type="dxa"/>
                  <w:vMerge w:val="continue"/>
                  <w:vAlign w:val="center"/>
                </w:tcPr>
                <w:p w14:paraId="08A11B22">
                  <w:pPr>
                    <w:pStyle w:val="15"/>
                  </w:pPr>
                </w:p>
              </w:tc>
              <w:tc>
                <w:tcPr>
                  <w:tcW w:w="1460" w:type="dxa"/>
                  <w:vAlign w:val="center"/>
                </w:tcPr>
                <w:p w14:paraId="7BE38CF4">
                  <w:pPr>
                    <w:pStyle w:val="15"/>
                  </w:pPr>
                  <w:r>
                    <w:rPr>
                      <w:rFonts w:hint="eastAsia"/>
                    </w:rPr>
                    <w:t>SW59 900-099-S59</w:t>
                  </w:r>
                </w:p>
              </w:tc>
              <w:tc>
                <w:tcPr>
                  <w:tcW w:w="652" w:type="dxa"/>
                  <w:vAlign w:val="center"/>
                </w:tcPr>
                <w:p w14:paraId="399ACFB2">
                  <w:pPr>
                    <w:pStyle w:val="15"/>
                  </w:pPr>
                  <w:r>
                    <w:rPr>
                      <w:rFonts w:hint="eastAsia"/>
                    </w:rPr>
                    <w:t>/</w:t>
                  </w:r>
                </w:p>
              </w:tc>
              <w:tc>
                <w:tcPr>
                  <w:tcW w:w="655" w:type="dxa"/>
                  <w:vAlign w:val="center"/>
                </w:tcPr>
                <w:p w14:paraId="7A0FA2E4">
                  <w:pPr>
                    <w:pStyle w:val="15"/>
                  </w:pPr>
                  <w:r>
                    <w:rPr>
                      <w:rFonts w:hint="eastAsia"/>
                    </w:rPr>
                    <w:t>固</w:t>
                  </w:r>
                </w:p>
              </w:tc>
              <w:tc>
                <w:tcPr>
                  <w:tcW w:w="709" w:type="dxa"/>
                  <w:vAlign w:val="center"/>
                </w:tcPr>
                <w:p w14:paraId="05FC5BAF">
                  <w:pPr>
                    <w:pStyle w:val="15"/>
                  </w:pPr>
                  <w:r>
                    <w:rPr>
                      <w:rFonts w:hint="eastAsia"/>
                    </w:rPr>
                    <w:t>/</w:t>
                  </w:r>
                </w:p>
              </w:tc>
              <w:tc>
                <w:tcPr>
                  <w:tcW w:w="872" w:type="dxa"/>
                  <w:vAlign w:val="center"/>
                </w:tcPr>
                <w:p w14:paraId="3DD42008">
                  <w:pPr>
                    <w:pStyle w:val="15"/>
                  </w:pPr>
                  <w:r>
                    <w:rPr>
                      <w:rFonts w:hint="eastAsia"/>
                    </w:rPr>
                    <w:t>0.1</w:t>
                  </w:r>
                </w:p>
              </w:tc>
              <w:tc>
                <w:tcPr>
                  <w:tcW w:w="1276" w:type="dxa"/>
                  <w:vAlign w:val="center"/>
                </w:tcPr>
                <w:p w14:paraId="29A431F3">
                  <w:pPr>
                    <w:pStyle w:val="15"/>
                  </w:pPr>
                  <w:r>
                    <w:rPr>
                      <w:rFonts w:hint="eastAsia"/>
                    </w:rPr>
                    <w:t>厂家回收</w:t>
                  </w:r>
                </w:p>
              </w:tc>
            </w:tr>
            <w:tr w14:paraId="54B09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Align w:val="center"/>
                </w:tcPr>
                <w:p w14:paraId="6316627B">
                  <w:pPr>
                    <w:pStyle w:val="15"/>
                  </w:pPr>
                  <w:r>
                    <w:rPr>
                      <w:rFonts w:hint="eastAsia"/>
                    </w:rPr>
                    <w:t>生活垃圾</w:t>
                  </w:r>
                </w:p>
              </w:tc>
              <w:tc>
                <w:tcPr>
                  <w:tcW w:w="877" w:type="dxa"/>
                  <w:vAlign w:val="center"/>
                </w:tcPr>
                <w:p w14:paraId="0B130FA5">
                  <w:pPr>
                    <w:pStyle w:val="15"/>
                  </w:pPr>
                  <w:r>
                    <w:rPr>
                      <w:rFonts w:hint="eastAsia"/>
                    </w:rPr>
                    <w:t>生活垃圾</w:t>
                  </w:r>
                </w:p>
              </w:tc>
              <w:tc>
                <w:tcPr>
                  <w:tcW w:w="720" w:type="dxa"/>
                  <w:vAlign w:val="center"/>
                </w:tcPr>
                <w:p w14:paraId="00F2E4D1">
                  <w:pPr>
                    <w:pStyle w:val="15"/>
                  </w:pPr>
                  <w:r>
                    <w:rPr>
                      <w:rFonts w:hint="eastAsia"/>
                    </w:rPr>
                    <w:t>员工生活</w:t>
                  </w:r>
                </w:p>
              </w:tc>
              <w:tc>
                <w:tcPr>
                  <w:tcW w:w="1460" w:type="dxa"/>
                  <w:vAlign w:val="center"/>
                </w:tcPr>
                <w:p w14:paraId="7DB69B6E">
                  <w:pPr>
                    <w:pStyle w:val="15"/>
                  </w:pPr>
                  <w:r>
                    <w:rPr>
                      <w:rFonts w:hint="eastAsia"/>
                    </w:rPr>
                    <w:t>SW61 900-002-S60</w:t>
                  </w:r>
                </w:p>
              </w:tc>
              <w:tc>
                <w:tcPr>
                  <w:tcW w:w="652" w:type="dxa"/>
                  <w:vAlign w:val="center"/>
                </w:tcPr>
                <w:p w14:paraId="17FD9897">
                  <w:pPr>
                    <w:pStyle w:val="15"/>
                  </w:pPr>
                  <w:r>
                    <w:rPr>
                      <w:rFonts w:hint="eastAsia"/>
                    </w:rPr>
                    <w:t>/</w:t>
                  </w:r>
                </w:p>
              </w:tc>
              <w:tc>
                <w:tcPr>
                  <w:tcW w:w="655" w:type="dxa"/>
                  <w:vAlign w:val="center"/>
                </w:tcPr>
                <w:p w14:paraId="47ACBCDE">
                  <w:pPr>
                    <w:pStyle w:val="15"/>
                  </w:pPr>
                  <w:r>
                    <w:rPr>
                      <w:rFonts w:hint="eastAsia"/>
                    </w:rPr>
                    <w:t>固</w:t>
                  </w:r>
                </w:p>
              </w:tc>
              <w:tc>
                <w:tcPr>
                  <w:tcW w:w="709" w:type="dxa"/>
                  <w:vAlign w:val="center"/>
                </w:tcPr>
                <w:p w14:paraId="5A708873">
                  <w:pPr>
                    <w:pStyle w:val="15"/>
                  </w:pPr>
                  <w:r>
                    <w:rPr>
                      <w:rFonts w:hint="eastAsia"/>
                    </w:rPr>
                    <w:t>/</w:t>
                  </w:r>
                </w:p>
              </w:tc>
              <w:tc>
                <w:tcPr>
                  <w:tcW w:w="872" w:type="dxa"/>
                  <w:vAlign w:val="center"/>
                </w:tcPr>
                <w:p w14:paraId="25D42ECF">
                  <w:pPr>
                    <w:pStyle w:val="15"/>
                  </w:pPr>
                  <w:r>
                    <w:rPr>
                      <w:rFonts w:hint="eastAsia"/>
                    </w:rPr>
                    <w:t>3</w:t>
                  </w:r>
                </w:p>
              </w:tc>
              <w:tc>
                <w:tcPr>
                  <w:tcW w:w="1276" w:type="dxa"/>
                  <w:vAlign w:val="center"/>
                </w:tcPr>
                <w:p w14:paraId="63E97077">
                  <w:pPr>
                    <w:pStyle w:val="15"/>
                  </w:pPr>
                  <w:r>
                    <w:t>交由环卫部门</w:t>
                  </w:r>
                  <w:r>
                    <w:rPr>
                      <w:rFonts w:hint="eastAsia"/>
                    </w:rPr>
                    <w:t>处理</w:t>
                  </w:r>
                </w:p>
              </w:tc>
            </w:tr>
          </w:tbl>
          <w:p w14:paraId="0335EAE4">
            <w:pPr>
              <w:pStyle w:val="16"/>
              <w:ind w:firstLine="482"/>
            </w:pPr>
            <w:r>
              <w:t>4.2</w:t>
            </w:r>
            <w:r>
              <w:rPr>
                <w:rFonts w:hint="eastAsia"/>
              </w:rPr>
              <w:t xml:space="preserve"> </w:t>
            </w:r>
            <w:r>
              <w:t>固体废物管理要求</w:t>
            </w:r>
          </w:p>
          <w:p w14:paraId="03A0A1FF">
            <w:pPr>
              <w:pStyle w:val="17"/>
              <w:ind w:firstLine="480"/>
            </w:pPr>
            <w:r>
              <w:rPr>
                <w:rFonts w:hint="eastAsia"/>
              </w:rPr>
              <w:t>（1）</w:t>
            </w:r>
            <w:r>
              <w:t>一般工业固废仓库</w:t>
            </w:r>
          </w:p>
          <w:p w14:paraId="5762C1AD">
            <w:pPr>
              <w:pStyle w:val="17"/>
              <w:ind w:firstLine="480"/>
            </w:pPr>
            <w:r>
              <w:t>一般固废仓库的建设应满足《一般工业固体废物贮存和填埋污染控制标准》（GB18599-2020）相关要求，具体为：</w:t>
            </w:r>
          </w:p>
          <w:p w14:paraId="01A6C6E5">
            <w:pPr>
              <w:pStyle w:val="17"/>
              <w:ind w:firstLine="480"/>
            </w:pPr>
            <w:r>
              <w:t>①贮存区采取防风、防雨、防渗透、防泄漏措施；</w:t>
            </w:r>
          </w:p>
          <w:p w14:paraId="1793089B">
            <w:pPr>
              <w:pStyle w:val="17"/>
              <w:ind w:firstLine="480"/>
            </w:pPr>
            <w:r>
              <w:t>②各类固废应分类收集；指定专人进行日常管理，落实安全管理责任，避免二次污染，确保固废“零排放”；</w:t>
            </w:r>
          </w:p>
          <w:p w14:paraId="49C8EB8C">
            <w:pPr>
              <w:pStyle w:val="17"/>
              <w:ind w:firstLine="480"/>
            </w:pPr>
            <w:r>
              <w:t>③贮存区按照《环境保护图形标志 固体废物贮存（处置）场》（GB15562.2-1995）及其修改单的要求设置环保图形标志。</w:t>
            </w:r>
          </w:p>
          <w:p w14:paraId="57FF42E9">
            <w:pPr>
              <w:pStyle w:val="17"/>
              <w:ind w:firstLine="480"/>
            </w:pPr>
            <w:r>
              <w:t>（</w:t>
            </w:r>
            <w:r>
              <w:rPr>
                <w:rFonts w:hint="eastAsia"/>
              </w:rPr>
              <w:t>2</w:t>
            </w:r>
            <w:r>
              <w:t>）生活垃圾处置措施</w:t>
            </w:r>
          </w:p>
          <w:p w14:paraId="2F5EC4D0">
            <w:pPr>
              <w:pStyle w:val="17"/>
              <w:ind w:firstLine="480"/>
            </w:pPr>
            <w:r>
              <w:t>项目生活垃圾集中收集后由环卫部门</w:t>
            </w:r>
            <w:r>
              <w:rPr>
                <w:rFonts w:hint="eastAsia"/>
              </w:rPr>
              <w:t>处理</w:t>
            </w:r>
            <w:r>
              <w:t>。</w:t>
            </w:r>
          </w:p>
          <w:p w14:paraId="182E0A3A">
            <w:pPr>
              <w:pStyle w:val="17"/>
              <w:ind w:firstLine="480"/>
            </w:pPr>
            <w:r>
              <w:t>采取上述措施后，本</w:t>
            </w:r>
            <w:r>
              <w:rPr>
                <w:rFonts w:hint="eastAsia"/>
              </w:rPr>
              <w:t>项目</w:t>
            </w:r>
            <w:r>
              <w:t>固体废物可得到妥善的处理，对周围环境造成的影响很小。</w:t>
            </w:r>
          </w:p>
          <w:p w14:paraId="24A6D7BC">
            <w:pPr>
              <w:pStyle w:val="16"/>
              <w:ind w:firstLine="482"/>
            </w:pPr>
            <w:r>
              <w:rPr>
                <w:rFonts w:hint="eastAsia"/>
              </w:rPr>
              <w:t>5</w:t>
            </w:r>
            <w:r>
              <w:t>、环境风险</w:t>
            </w:r>
          </w:p>
          <w:p w14:paraId="2F444DDE">
            <w:pPr>
              <w:pStyle w:val="16"/>
              <w:ind w:firstLine="480"/>
              <w:rPr>
                <w:b w:val="0"/>
                <w:bCs/>
              </w:rPr>
            </w:pPr>
            <w:r>
              <w:rPr>
                <w:rFonts w:hint="eastAsia"/>
                <w:b w:val="0"/>
                <w:bCs/>
              </w:rPr>
              <w:t>（1）</w:t>
            </w:r>
            <w:r>
              <w:rPr>
                <w:b w:val="0"/>
                <w:bCs/>
              </w:rPr>
              <w:t>物质危险性识别</w:t>
            </w:r>
          </w:p>
          <w:p w14:paraId="2E2CF400">
            <w:pPr>
              <w:pStyle w:val="17"/>
              <w:ind w:firstLine="480"/>
            </w:pPr>
            <w:r>
              <w:t>根据《建设项目环境风险评价技术导则》（HJ/T1639-2018）可知，物质危险性识别包括原辅材料、燃料、中间产品、副产品、最终产品、污染物、火灾和爆炸伴生/次生物等。结合本项目生产过程中各种物质的理化性质及毒理毒性，本企业</w:t>
            </w:r>
            <w:r>
              <w:rPr>
                <w:rFonts w:hint="eastAsia"/>
              </w:rPr>
              <w:t>不涉及风险物质，</w:t>
            </w:r>
            <w:r>
              <w:t>Q=0＜1，风险潜势为I，故开展简单分析。</w:t>
            </w:r>
          </w:p>
          <w:p w14:paraId="24E97E8A">
            <w:pPr>
              <w:pStyle w:val="17"/>
              <w:ind w:firstLine="480"/>
            </w:pPr>
            <w:r>
              <w:t>（</w:t>
            </w:r>
            <w:r>
              <w:rPr>
                <w:rFonts w:hint="eastAsia"/>
              </w:rPr>
              <w:t>2</w:t>
            </w:r>
            <w:r>
              <w:t>）评价等级</w:t>
            </w:r>
          </w:p>
          <w:p w14:paraId="1592810A">
            <w:pPr>
              <w:pStyle w:val="17"/>
              <w:ind w:firstLine="480"/>
            </w:pPr>
            <w:r>
              <w:t>根据《建设项目环境风险评价技术导则》（HJ169-2018），风险潜势为Ⅰ，只开展简单分析</w:t>
            </w:r>
            <w:r>
              <w:rPr>
                <w:rFonts w:hint="eastAsia"/>
              </w:rPr>
              <w:t>，</w:t>
            </w:r>
            <w:r>
              <w:t>环境风险评价工作等级划分详见下表。</w:t>
            </w:r>
          </w:p>
          <w:p w14:paraId="10DABB87">
            <w:pPr>
              <w:pStyle w:val="18"/>
            </w:pPr>
            <w:r>
              <w:rPr>
                <w:rFonts w:hint="eastAsia"/>
              </w:rPr>
              <w:t>表4-13  建设项目环境分析简单分析内容表</w:t>
            </w:r>
          </w:p>
          <w:tbl>
            <w:tblPr>
              <w:tblStyle w:val="12"/>
              <w:tblW w:w="7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3"/>
              <w:gridCol w:w="6376"/>
            </w:tblGrid>
            <w:tr w14:paraId="1A040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3" w:type="dxa"/>
                  <w:vAlign w:val="center"/>
                </w:tcPr>
                <w:p w14:paraId="0E0A5859">
                  <w:pPr>
                    <w:pStyle w:val="15"/>
                  </w:pPr>
                  <w:r>
                    <w:rPr>
                      <w:rFonts w:hint="eastAsia"/>
                    </w:rPr>
                    <w:t>项目名称</w:t>
                  </w:r>
                </w:p>
              </w:tc>
              <w:tc>
                <w:tcPr>
                  <w:tcW w:w="6376" w:type="dxa"/>
                  <w:vAlign w:val="center"/>
                </w:tcPr>
                <w:p w14:paraId="281A1EE2">
                  <w:pPr>
                    <w:pStyle w:val="15"/>
                    <w:rPr>
                      <w:highlight w:val="yellow"/>
                    </w:rPr>
                  </w:pPr>
                  <w:r>
                    <w:t>年清洗消毒餐具300万套</w:t>
                  </w:r>
                  <w:r>
                    <w:rPr>
                      <w:rFonts w:hint="eastAsia"/>
                    </w:rPr>
                    <w:t>建设项目</w:t>
                  </w:r>
                </w:p>
              </w:tc>
            </w:tr>
            <w:tr w14:paraId="34F89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3" w:type="dxa"/>
                  <w:vAlign w:val="center"/>
                </w:tcPr>
                <w:p w14:paraId="64025DCE">
                  <w:pPr>
                    <w:pStyle w:val="15"/>
                  </w:pPr>
                  <w:r>
                    <w:t>建设地点</w:t>
                  </w:r>
                </w:p>
              </w:tc>
              <w:tc>
                <w:tcPr>
                  <w:tcW w:w="6376" w:type="dxa"/>
                  <w:vAlign w:val="center"/>
                </w:tcPr>
                <w:p w14:paraId="7964EC17">
                  <w:pPr>
                    <w:spacing w:line="240" w:lineRule="auto"/>
                    <w:ind w:firstLine="0" w:firstLineChars="0"/>
                    <w:jc w:val="center"/>
                    <w:rPr>
                      <w:sz w:val="21"/>
                      <w:szCs w:val="21"/>
                      <w:highlight w:val="yellow"/>
                    </w:rPr>
                  </w:pPr>
                  <w:r>
                    <w:rPr>
                      <w:sz w:val="21"/>
                      <w:szCs w:val="21"/>
                    </w:rPr>
                    <w:t>岳阳市岳阳县新开镇新开村毛栗片湘北大道西侧（6栋）</w:t>
                  </w:r>
                </w:p>
              </w:tc>
            </w:tr>
            <w:tr w14:paraId="4A3CA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3" w:type="dxa"/>
                  <w:vAlign w:val="center"/>
                </w:tcPr>
                <w:p w14:paraId="00FD2275">
                  <w:pPr>
                    <w:pStyle w:val="15"/>
                  </w:pPr>
                  <w:r>
                    <w:t>地理坐标</w:t>
                  </w:r>
                </w:p>
              </w:tc>
              <w:tc>
                <w:tcPr>
                  <w:tcW w:w="6376" w:type="dxa"/>
                  <w:vAlign w:val="center"/>
                </w:tcPr>
                <w:p w14:paraId="7FE67A3F">
                  <w:pPr>
                    <w:spacing w:line="240" w:lineRule="auto"/>
                    <w:ind w:firstLine="0" w:firstLineChars="0"/>
                    <w:jc w:val="center"/>
                    <w:rPr>
                      <w:sz w:val="21"/>
                      <w:szCs w:val="21"/>
                    </w:rPr>
                  </w:pPr>
                  <w:r>
                    <w:rPr>
                      <w:sz w:val="21"/>
                      <w:szCs w:val="21"/>
                    </w:rPr>
                    <w:t>东经113°9′12.249″，北纬29°16′39.594″</w:t>
                  </w:r>
                </w:p>
              </w:tc>
            </w:tr>
            <w:tr w14:paraId="639AE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3" w:type="dxa"/>
                  <w:vAlign w:val="center"/>
                </w:tcPr>
                <w:p w14:paraId="6E117958">
                  <w:pPr>
                    <w:pStyle w:val="15"/>
                  </w:pPr>
                  <w:r>
                    <w:t>主要危害物质及分布</w:t>
                  </w:r>
                </w:p>
              </w:tc>
              <w:tc>
                <w:tcPr>
                  <w:tcW w:w="6376" w:type="dxa"/>
                  <w:vAlign w:val="center"/>
                </w:tcPr>
                <w:p w14:paraId="17DFF83F">
                  <w:pPr>
                    <w:pStyle w:val="15"/>
                  </w:pPr>
                  <w:r>
                    <w:rPr>
                      <w:rFonts w:hint="eastAsia"/>
                    </w:rPr>
                    <w:t>/</w:t>
                  </w:r>
                </w:p>
              </w:tc>
            </w:tr>
            <w:tr w14:paraId="4373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3" w:type="dxa"/>
                  <w:vAlign w:val="center"/>
                </w:tcPr>
                <w:p w14:paraId="4395FFBB">
                  <w:pPr>
                    <w:pStyle w:val="15"/>
                  </w:pPr>
                  <w:r>
                    <w:t>环境影响途径</w:t>
                  </w:r>
                </w:p>
                <w:p w14:paraId="449A375C">
                  <w:pPr>
                    <w:pStyle w:val="15"/>
                  </w:pPr>
                  <w:r>
                    <w:t>及危害后果</w:t>
                  </w:r>
                </w:p>
              </w:tc>
              <w:tc>
                <w:tcPr>
                  <w:tcW w:w="6376" w:type="dxa"/>
                  <w:vAlign w:val="center"/>
                </w:tcPr>
                <w:p w14:paraId="2BA5F795">
                  <w:pPr>
                    <w:pStyle w:val="15"/>
                    <w:jc w:val="both"/>
                  </w:pPr>
                  <w:r>
                    <w:t>因明火引起的</w:t>
                  </w:r>
                  <w:r>
                    <w:rPr>
                      <w:rFonts w:hint="eastAsia"/>
                    </w:rPr>
                    <w:t>火灾；预处理废水外溢。</w:t>
                  </w:r>
                </w:p>
              </w:tc>
            </w:tr>
            <w:tr w14:paraId="27C92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3" w:type="dxa"/>
                  <w:vAlign w:val="center"/>
                </w:tcPr>
                <w:p w14:paraId="292E0BBC">
                  <w:pPr>
                    <w:pStyle w:val="15"/>
                  </w:pPr>
                  <w:r>
                    <w:t>风险防范措施要求</w:t>
                  </w:r>
                </w:p>
              </w:tc>
              <w:tc>
                <w:tcPr>
                  <w:tcW w:w="6376" w:type="dxa"/>
                  <w:vAlign w:val="center"/>
                </w:tcPr>
                <w:p w14:paraId="47253490">
                  <w:pPr>
                    <w:pStyle w:val="15"/>
                    <w:jc w:val="both"/>
                  </w:pPr>
                  <w:r>
                    <w:t>①制定风险防范管理制度</w:t>
                  </w:r>
                  <w:r>
                    <w:rPr>
                      <w:rFonts w:hint="eastAsia"/>
                    </w:rPr>
                    <w:t>；</w:t>
                  </w:r>
                </w:p>
                <w:p w14:paraId="55E94CD0">
                  <w:pPr>
                    <w:pStyle w:val="15"/>
                    <w:jc w:val="both"/>
                  </w:pPr>
                  <w:r>
                    <w:t>②生产操作工人上岗前必须进行专业技术培训和安装生产培训，严格管理，提高职工的安全环保意识，防止和减少因人为因素造成的风险事故</w:t>
                  </w:r>
                  <w:r>
                    <w:rPr>
                      <w:rFonts w:hint="eastAsia"/>
                    </w:rPr>
                    <w:t>机</w:t>
                  </w:r>
                  <w:r>
                    <w:t>率</w:t>
                  </w:r>
                  <w:r>
                    <w:rPr>
                      <w:rFonts w:hint="eastAsia"/>
                    </w:rPr>
                    <w:t>；</w:t>
                  </w:r>
                </w:p>
                <w:p w14:paraId="5BB55060">
                  <w:pPr>
                    <w:pStyle w:val="15"/>
                    <w:jc w:val="both"/>
                  </w:pPr>
                  <w:r>
                    <w:t>③加强设备日常的维护和管理，定期对</w:t>
                  </w:r>
                  <w:r>
                    <w:rPr>
                      <w:rFonts w:hint="eastAsia"/>
                    </w:rPr>
                    <w:t>预处理</w:t>
                  </w:r>
                  <w:r>
                    <w:t>废水处理的各类设备进行保养、检查和维修，确保废水处理系统的正常运行。</w:t>
                  </w:r>
                </w:p>
              </w:tc>
            </w:tr>
          </w:tbl>
          <w:p w14:paraId="63D89BBD">
            <w:pPr>
              <w:pStyle w:val="16"/>
              <w:ind w:firstLine="482"/>
            </w:pPr>
            <w:r>
              <w:rPr>
                <w:rFonts w:hint="eastAsia"/>
              </w:rPr>
              <w:t>6</w:t>
            </w:r>
            <w:r>
              <w:t>、环保投资</w:t>
            </w:r>
          </w:p>
          <w:p w14:paraId="243E7D48">
            <w:pPr>
              <w:pStyle w:val="17"/>
              <w:ind w:firstLine="480"/>
            </w:pPr>
            <w:r>
              <w:t>本项目总投资</w:t>
            </w:r>
            <w:r>
              <w:rPr>
                <w:rFonts w:hint="eastAsia"/>
              </w:rPr>
              <w:t>3</w:t>
            </w:r>
            <w:r>
              <w:t>00万元，环保投资</w:t>
            </w:r>
            <w:r>
              <w:rPr>
                <w:rFonts w:hint="eastAsia"/>
              </w:rPr>
              <w:t>20</w:t>
            </w:r>
            <w:r>
              <w:t>万元，占总投资的</w:t>
            </w:r>
            <w:r>
              <w:rPr>
                <w:rFonts w:hint="eastAsia"/>
              </w:rPr>
              <w:t>6.67</w:t>
            </w:r>
            <w:r>
              <w:t>%。环保投资算详见下表。</w:t>
            </w:r>
          </w:p>
          <w:p w14:paraId="29B32454">
            <w:pPr>
              <w:pStyle w:val="18"/>
            </w:pPr>
            <w:r>
              <w:rPr>
                <w:rFonts w:hint="eastAsia"/>
              </w:rPr>
              <w:t>表4-14  环保投资表</w:t>
            </w:r>
          </w:p>
          <w:tbl>
            <w:tblPr>
              <w:tblStyle w:val="12"/>
              <w:tblW w:w="7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582"/>
              <w:gridCol w:w="4322"/>
              <w:gridCol w:w="1235"/>
            </w:tblGrid>
            <w:tr w14:paraId="37CB2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0" w:type="dxa"/>
                  <w:vAlign w:val="center"/>
                </w:tcPr>
                <w:p w14:paraId="1D032CFC">
                  <w:pPr>
                    <w:pStyle w:val="15"/>
                  </w:pPr>
                  <w:r>
                    <w:rPr>
                      <w:rFonts w:hint="eastAsia"/>
                    </w:rPr>
                    <w:t>类别</w:t>
                  </w:r>
                </w:p>
              </w:tc>
              <w:tc>
                <w:tcPr>
                  <w:tcW w:w="1582" w:type="dxa"/>
                  <w:vAlign w:val="center"/>
                </w:tcPr>
                <w:p w14:paraId="2D0EF7A3">
                  <w:pPr>
                    <w:pStyle w:val="15"/>
                  </w:pPr>
                  <w:r>
                    <w:rPr>
                      <w:rFonts w:hint="eastAsia"/>
                    </w:rPr>
                    <w:t>污染源</w:t>
                  </w:r>
                </w:p>
              </w:tc>
              <w:tc>
                <w:tcPr>
                  <w:tcW w:w="4322" w:type="dxa"/>
                  <w:vAlign w:val="center"/>
                </w:tcPr>
                <w:p w14:paraId="5203E508">
                  <w:pPr>
                    <w:pStyle w:val="15"/>
                  </w:pPr>
                  <w:r>
                    <w:t>污染防治措施</w:t>
                  </w:r>
                </w:p>
              </w:tc>
              <w:tc>
                <w:tcPr>
                  <w:tcW w:w="1235" w:type="dxa"/>
                  <w:vAlign w:val="center"/>
                </w:tcPr>
                <w:p w14:paraId="2ED62C62">
                  <w:pPr>
                    <w:pStyle w:val="15"/>
                  </w:pPr>
                  <w:r>
                    <w:t>投资概算（万元）</w:t>
                  </w:r>
                </w:p>
              </w:tc>
            </w:tr>
            <w:tr w14:paraId="42E31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Merge w:val="restart"/>
                  <w:vAlign w:val="center"/>
                </w:tcPr>
                <w:p w14:paraId="5096725F">
                  <w:pPr>
                    <w:pStyle w:val="15"/>
                  </w:pPr>
                  <w:r>
                    <w:rPr>
                      <w:rFonts w:hint="eastAsia"/>
                    </w:rPr>
                    <w:t>废气</w:t>
                  </w:r>
                </w:p>
              </w:tc>
              <w:tc>
                <w:tcPr>
                  <w:tcW w:w="1582" w:type="dxa"/>
                  <w:vAlign w:val="center"/>
                </w:tcPr>
                <w:p w14:paraId="2B104DC1">
                  <w:pPr>
                    <w:pStyle w:val="15"/>
                  </w:pPr>
                  <w:r>
                    <w:rPr>
                      <w:rFonts w:hint="eastAsia"/>
                    </w:rPr>
                    <w:t>锅炉废气</w:t>
                  </w:r>
                </w:p>
              </w:tc>
              <w:tc>
                <w:tcPr>
                  <w:tcW w:w="4322" w:type="dxa"/>
                  <w:vAlign w:val="center"/>
                </w:tcPr>
                <w:p w14:paraId="0472CBAE">
                  <w:pPr>
                    <w:pStyle w:val="15"/>
                  </w:pPr>
                  <w:r>
                    <w:t>经</w:t>
                  </w:r>
                  <w:r>
                    <w:rPr>
                      <w:rFonts w:hint="eastAsia"/>
                      <w:color w:val="auto"/>
                      <w:highlight w:val="none"/>
                    </w:rPr>
                    <w:t>布袋</w:t>
                  </w:r>
                  <w:r>
                    <w:rPr>
                      <w:rFonts w:hint="eastAsia"/>
                    </w:rPr>
                    <w:t>除尘</w:t>
                  </w:r>
                  <w:r>
                    <w:t>处理后</w:t>
                  </w:r>
                  <w:r>
                    <w:rPr>
                      <w:rFonts w:hint="eastAsia"/>
                    </w:rPr>
                    <w:t>3</w:t>
                  </w:r>
                  <w:r>
                    <w:t>0m排气筒（DA001）外排</w:t>
                  </w:r>
                </w:p>
              </w:tc>
              <w:tc>
                <w:tcPr>
                  <w:tcW w:w="1235" w:type="dxa"/>
                  <w:vAlign w:val="center"/>
                </w:tcPr>
                <w:p w14:paraId="48D1CCC1">
                  <w:pPr>
                    <w:pStyle w:val="15"/>
                  </w:pPr>
                  <w:r>
                    <w:rPr>
                      <w:rFonts w:hint="eastAsia"/>
                    </w:rPr>
                    <w:t>8</w:t>
                  </w:r>
                </w:p>
              </w:tc>
            </w:tr>
            <w:tr w14:paraId="7719D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Merge w:val="continue"/>
                  <w:vAlign w:val="center"/>
                </w:tcPr>
                <w:p w14:paraId="0C7CAC5D">
                  <w:pPr>
                    <w:pStyle w:val="15"/>
                  </w:pPr>
                </w:p>
              </w:tc>
              <w:tc>
                <w:tcPr>
                  <w:tcW w:w="1582" w:type="dxa"/>
                  <w:vAlign w:val="center"/>
                </w:tcPr>
                <w:p w14:paraId="7B270E07">
                  <w:pPr>
                    <w:pStyle w:val="15"/>
                  </w:pPr>
                  <w:r>
                    <w:rPr>
                      <w:rFonts w:hint="eastAsia"/>
                    </w:rPr>
                    <w:t>生产车间异味</w:t>
                  </w:r>
                </w:p>
              </w:tc>
              <w:tc>
                <w:tcPr>
                  <w:tcW w:w="4322" w:type="dxa"/>
                  <w:vAlign w:val="center"/>
                </w:tcPr>
                <w:p w14:paraId="5F13AD82">
                  <w:pPr>
                    <w:pStyle w:val="15"/>
                  </w:pPr>
                  <w:r>
                    <w:t>加强管理，食物残渣用专用容器密闭存放，由环卫部门每天清运，容器在餐厨垃圾清运后及时清洗，以及在车间内安装车间排风扇，加强车间通风</w:t>
                  </w:r>
                </w:p>
              </w:tc>
              <w:tc>
                <w:tcPr>
                  <w:tcW w:w="1235" w:type="dxa"/>
                  <w:vAlign w:val="center"/>
                </w:tcPr>
                <w:p w14:paraId="4A349B23">
                  <w:pPr>
                    <w:pStyle w:val="15"/>
                  </w:pPr>
                  <w:r>
                    <w:rPr>
                      <w:rFonts w:hint="eastAsia"/>
                    </w:rPr>
                    <w:t>1</w:t>
                  </w:r>
                </w:p>
              </w:tc>
            </w:tr>
            <w:tr w14:paraId="75F24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Merge w:val="restart"/>
                  <w:vAlign w:val="center"/>
                </w:tcPr>
                <w:p w14:paraId="57F16DBC">
                  <w:pPr>
                    <w:pStyle w:val="15"/>
                  </w:pPr>
                  <w:r>
                    <w:rPr>
                      <w:rFonts w:hint="eastAsia"/>
                    </w:rPr>
                    <w:t>废水</w:t>
                  </w:r>
                </w:p>
              </w:tc>
              <w:tc>
                <w:tcPr>
                  <w:tcW w:w="1582" w:type="dxa"/>
                  <w:vAlign w:val="center"/>
                </w:tcPr>
                <w:p w14:paraId="050978FD">
                  <w:pPr>
                    <w:pStyle w:val="15"/>
                  </w:pPr>
                  <w:r>
                    <w:rPr>
                      <w:rFonts w:hint="eastAsia"/>
                    </w:rPr>
                    <w:t>生活污水</w:t>
                  </w:r>
                </w:p>
              </w:tc>
              <w:tc>
                <w:tcPr>
                  <w:tcW w:w="4322" w:type="dxa"/>
                  <w:vAlign w:val="center"/>
                </w:tcPr>
                <w:p w14:paraId="4ED66BD2">
                  <w:pPr>
                    <w:pStyle w:val="15"/>
                  </w:pPr>
                  <w:r>
                    <w:rPr>
                      <w:rFonts w:hint="eastAsia"/>
                    </w:rPr>
                    <w:t>化粪池</w:t>
                  </w:r>
                </w:p>
              </w:tc>
              <w:tc>
                <w:tcPr>
                  <w:tcW w:w="1235" w:type="dxa"/>
                  <w:vAlign w:val="center"/>
                </w:tcPr>
                <w:p w14:paraId="1F1D11D2">
                  <w:pPr>
                    <w:pStyle w:val="15"/>
                  </w:pPr>
                  <w:r>
                    <w:rPr>
                      <w:rFonts w:hint="eastAsia"/>
                    </w:rPr>
                    <w:t>0.5</w:t>
                  </w:r>
                </w:p>
              </w:tc>
            </w:tr>
            <w:tr w14:paraId="1383F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Merge w:val="continue"/>
                  <w:vAlign w:val="center"/>
                </w:tcPr>
                <w:p w14:paraId="20D6E69E">
                  <w:pPr>
                    <w:pStyle w:val="15"/>
                  </w:pPr>
                </w:p>
              </w:tc>
              <w:tc>
                <w:tcPr>
                  <w:tcW w:w="1582" w:type="dxa"/>
                  <w:vAlign w:val="center"/>
                </w:tcPr>
                <w:p w14:paraId="54202B76">
                  <w:pPr>
                    <w:pStyle w:val="15"/>
                  </w:pPr>
                  <w:r>
                    <w:rPr>
                      <w:rFonts w:hint="eastAsia"/>
                    </w:rPr>
                    <w:t>生产废水</w:t>
                  </w:r>
                </w:p>
              </w:tc>
              <w:tc>
                <w:tcPr>
                  <w:tcW w:w="4322" w:type="dxa"/>
                  <w:vAlign w:val="center"/>
                </w:tcPr>
                <w:p w14:paraId="62B5377E">
                  <w:pPr>
                    <w:pStyle w:val="15"/>
                    <w:jc w:val="center"/>
                  </w:pPr>
                  <w:r>
                    <w:rPr>
                      <w:rFonts w:hint="eastAsia"/>
                    </w:rPr>
                    <w:t>餐具清洗废水和地面拖洗废水经隔油处理后排入沉淀池与纯水制备废水一起通过灌装运输车运至岳阳高新科技产业园区污水处理厂处理</w:t>
                  </w:r>
                </w:p>
              </w:tc>
              <w:tc>
                <w:tcPr>
                  <w:tcW w:w="1235" w:type="dxa"/>
                  <w:vAlign w:val="center"/>
                </w:tcPr>
                <w:p w14:paraId="30131610">
                  <w:pPr>
                    <w:pStyle w:val="15"/>
                  </w:pPr>
                  <w:r>
                    <w:rPr>
                      <w:rFonts w:hint="eastAsia"/>
                    </w:rPr>
                    <w:t>3</w:t>
                  </w:r>
                </w:p>
              </w:tc>
            </w:tr>
            <w:tr w14:paraId="7602C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Align w:val="center"/>
                </w:tcPr>
                <w:p w14:paraId="06FD1AE6">
                  <w:pPr>
                    <w:pStyle w:val="15"/>
                  </w:pPr>
                  <w:r>
                    <w:rPr>
                      <w:rFonts w:hint="eastAsia"/>
                    </w:rPr>
                    <w:t>噪声</w:t>
                  </w:r>
                </w:p>
              </w:tc>
              <w:tc>
                <w:tcPr>
                  <w:tcW w:w="1582" w:type="dxa"/>
                  <w:vAlign w:val="center"/>
                </w:tcPr>
                <w:p w14:paraId="5F0D28FC">
                  <w:pPr>
                    <w:pStyle w:val="15"/>
                  </w:pPr>
                  <w:r>
                    <w:rPr>
                      <w:rFonts w:hint="eastAsia"/>
                    </w:rPr>
                    <w:t>设备噪声</w:t>
                  </w:r>
                </w:p>
              </w:tc>
              <w:tc>
                <w:tcPr>
                  <w:tcW w:w="4322" w:type="dxa"/>
                  <w:vAlign w:val="center"/>
                </w:tcPr>
                <w:p w14:paraId="30449D03">
                  <w:pPr>
                    <w:pStyle w:val="15"/>
                  </w:pPr>
                  <w:r>
                    <w:t>基础减振、厂房隔声，加强管理</w:t>
                  </w:r>
                </w:p>
              </w:tc>
              <w:tc>
                <w:tcPr>
                  <w:tcW w:w="1235" w:type="dxa"/>
                  <w:vAlign w:val="center"/>
                </w:tcPr>
                <w:p w14:paraId="00633760">
                  <w:pPr>
                    <w:pStyle w:val="15"/>
                  </w:pPr>
                  <w:r>
                    <w:rPr>
                      <w:rFonts w:hint="eastAsia"/>
                    </w:rPr>
                    <w:t>2</w:t>
                  </w:r>
                </w:p>
              </w:tc>
            </w:tr>
            <w:tr w14:paraId="0E9A7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Merge w:val="restart"/>
                  <w:vAlign w:val="center"/>
                </w:tcPr>
                <w:p w14:paraId="4B815496">
                  <w:pPr>
                    <w:pStyle w:val="15"/>
                  </w:pPr>
                  <w:r>
                    <w:rPr>
                      <w:rFonts w:hint="eastAsia"/>
                    </w:rPr>
                    <w:t>固体废物</w:t>
                  </w:r>
                </w:p>
              </w:tc>
              <w:tc>
                <w:tcPr>
                  <w:tcW w:w="1582" w:type="dxa"/>
                  <w:vAlign w:val="center"/>
                </w:tcPr>
                <w:p w14:paraId="48CECDF4">
                  <w:pPr>
                    <w:pStyle w:val="15"/>
                  </w:pPr>
                  <w:r>
                    <w:rPr>
                      <w:rFonts w:hint="eastAsia"/>
                    </w:rPr>
                    <w:t>生活垃圾</w:t>
                  </w:r>
                </w:p>
              </w:tc>
              <w:tc>
                <w:tcPr>
                  <w:tcW w:w="4322" w:type="dxa"/>
                  <w:vAlign w:val="center"/>
                </w:tcPr>
                <w:p w14:paraId="02B8E35C">
                  <w:pPr>
                    <w:pStyle w:val="15"/>
                  </w:pPr>
                  <w:r>
                    <w:t>交由环卫部门处理</w:t>
                  </w:r>
                </w:p>
              </w:tc>
              <w:tc>
                <w:tcPr>
                  <w:tcW w:w="1235" w:type="dxa"/>
                  <w:vAlign w:val="center"/>
                </w:tcPr>
                <w:p w14:paraId="30D9DC11">
                  <w:pPr>
                    <w:pStyle w:val="15"/>
                  </w:pPr>
                  <w:r>
                    <w:rPr>
                      <w:rFonts w:hint="eastAsia"/>
                    </w:rPr>
                    <w:t>0.5</w:t>
                  </w:r>
                </w:p>
              </w:tc>
            </w:tr>
            <w:tr w14:paraId="23AA3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 w:type="dxa"/>
                  <w:vMerge w:val="continue"/>
                  <w:vAlign w:val="center"/>
                </w:tcPr>
                <w:p w14:paraId="744FE3D9">
                  <w:pPr>
                    <w:pStyle w:val="15"/>
                  </w:pPr>
                </w:p>
              </w:tc>
              <w:tc>
                <w:tcPr>
                  <w:tcW w:w="1582" w:type="dxa"/>
                  <w:vAlign w:val="center"/>
                </w:tcPr>
                <w:p w14:paraId="0B7CBC18">
                  <w:pPr>
                    <w:pStyle w:val="15"/>
                  </w:pPr>
                  <w:r>
                    <w:rPr>
                      <w:rFonts w:hint="eastAsia"/>
                    </w:rPr>
                    <w:t>一般固废</w:t>
                  </w:r>
                </w:p>
              </w:tc>
              <w:tc>
                <w:tcPr>
                  <w:tcW w:w="4322" w:type="dxa"/>
                  <w:vAlign w:val="center"/>
                </w:tcPr>
                <w:p w14:paraId="02EC63E5">
                  <w:pPr>
                    <w:pStyle w:val="15"/>
                  </w:pPr>
                  <w:r>
                    <w:rPr>
                      <w:rFonts w:hint="eastAsia"/>
                    </w:rPr>
                    <w:t>食物残渣和废油脂交由餐厨垃圾处理公司等有资质单位处理；锅炉灰渣和除尘</w:t>
                  </w:r>
                  <w:r>
                    <w:rPr>
                      <w:rFonts w:hint="eastAsia"/>
                      <w:lang w:val="en-US" w:eastAsia="zh-CN"/>
                    </w:rPr>
                    <w:t>器</w:t>
                  </w:r>
                  <w:r>
                    <w:rPr>
                      <w:rFonts w:hint="eastAsia"/>
                    </w:rPr>
                    <w:t>收集的粉尘收集后交由周边农户做肥料；沉渣和废包装材料交由环卫部门处理；纯水制备废滤芯交由厂家回收</w:t>
                  </w:r>
                </w:p>
              </w:tc>
              <w:tc>
                <w:tcPr>
                  <w:tcW w:w="1235" w:type="dxa"/>
                  <w:vAlign w:val="center"/>
                </w:tcPr>
                <w:p w14:paraId="326A8270">
                  <w:pPr>
                    <w:pStyle w:val="15"/>
                  </w:pPr>
                  <w:r>
                    <w:rPr>
                      <w:rFonts w:hint="eastAsia"/>
                    </w:rPr>
                    <w:t>5</w:t>
                  </w:r>
                </w:p>
              </w:tc>
            </w:tr>
            <w:tr w14:paraId="0DEB4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4" w:type="dxa"/>
                  <w:gridSpan w:val="3"/>
                  <w:vAlign w:val="center"/>
                </w:tcPr>
                <w:p w14:paraId="6FA1A6D1">
                  <w:pPr>
                    <w:pStyle w:val="15"/>
                  </w:pPr>
                  <w:r>
                    <w:rPr>
                      <w:rFonts w:hint="eastAsia"/>
                    </w:rPr>
                    <w:t>合计</w:t>
                  </w:r>
                </w:p>
              </w:tc>
              <w:tc>
                <w:tcPr>
                  <w:tcW w:w="1235" w:type="dxa"/>
                  <w:vAlign w:val="center"/>
                </w:tcPr>
                <w:p w14:paraId="05E095A4">
                  <w:pPr>
                    <w:pStyle w:val="15"/>
                  </w:pPr>
                  <w:r>
                    <w:rPr>
                      <w:rFonts w:hint="eastAsia"/>
                    </w:rPr>
                    <w:t>20</w:t>
                  </w:r>
                </w:p>
              </w:tc>
            </w:tr>
          </w:tbl>
          <w:p w14:paraId="721054C3">
            <w:pPr>
              <w:pStyle w:val="17"/>
              <w:ind w:firstLine="480"/>
            </w:pPr>
          </w:p>
          <w:p w14:paraId="7D7CF7FA">
            <w:pPr>
              <w:pStyle w:val="17"/>
              <w:ind w:firstLine="0" w:firstLineChars="0"/>
            </w:pPr>
          </w:p>
        </w:tc>
      </w:tr>
    </w:tbl>
    <w:p w14:paraId="756B77F5">
      <w:pPr>
        <w:ind w:firstLine="480"/>
      </w:pPr>
      <w:r>
        <w:rPr>
          <w:rFonts w:hint="eastAsia"/>
        </w:rPr>
        <w:br w:type="page"/>
      </w:r>
    </w:p>
    <w:p w14:paraId="30B2C557">
      <w:pPr>
        <w:pStyle w:val="2"/>
        <w:numPr>
          <w:ilvl w:val="0"/>
          <w:numId w:val="4"/>
        </w:numPr>
      </w:pPr>
      <w:bookmarkStart w:id="13" w:name="_Hlk54167917"/>
      <w:bookmarkStart w:id="14" w:name="_Toc15169"/>
      <w:bookmarkStart w:id="15" w:name="_Toc2655"/>
      <w:r>
        <w:t>环境保护措施监督检查清单</w:t>
      </w:r>
      <w:bookmarkEnd w:id="13"/>
      <w:bookmarkEnd w:id="14"/>
      <w:bookmarkEnd w:id="15"/>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1337"/>
        <w:gridCol w:w="1337"/>
        <w:gridCol w:w="2627"/>
        <w:gridCol w:w="2190"/>
      </w:tblGrid>
      <w:tr w14:paraId="751C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tcBorders>
              <w:tl2br w:val="single" w:color="auto" w:sz="4" w:space="0"/>
            </w:tcBorders>
            <w:vAlign w:val="center"/>
          </w:tcPr>
          <w:p w14:paraId="5D6E0B39">
            <w:pPr>
              <w:pStyle w:val="5"/>
            </w:pPr>
            <w:r>
              <w:rPr>
                <w:rFonts w:hint="eastAsia"/>
              </w:rPr>
              <w:t xml:space="preserve">  </w:t>
            </w:r>
            <w:r>
              <w:t>内容</w:t>
            </w:r>
          </w:p>
          <w:p w14:paraId="2426F3A8">
            <w:pPr>
              <w:pStyle w:val="5"/>
              <w:jc w:val="both"/>
            </w:pPr>
            <w:r>
              <w:t>要素</w:t>
            </w:r>
          </w:p>
        </w:tc>
        <w:tc>
          <w:tcPr>
            <w:tcW w:w="797" w:type="pct"/>
            <w:vAlign w:val="center"/>
          </w:tcPr>
          <w:p w14:paraId="112431D9">
            <w:pPr>
              <w:pStyle w:val="5"/>
            </w:pPr>
            <w:r>
              <w:t>排放口(编号、名称)/污染源</w:t>
            </w:r>
          </w:p>
        </w:tc>
        <w:tc>
          <w:tcPr>
            <w:tcW w:w="797" w:type="pct"/>
            <w:vAlign w:val="center"/>
          </w:tcPr>
          <w:p w14:paraId="5E11B948">
            <w:pPr>
              <w:pStyle w:val="5"/>
            </w:pPr>
            <w:r>
              <w:t>污染物</w:t>
            </w:r>
          </w:p>
          <w:p w14:paraId="529ECCDC">
            <w:pPr>
              <w:pStyle w:val="5"/>
            </w:pPr>
            <w:r>
              <w:t>项目</w:t>
            </w:r>
          </w:p>
        </w:tc>
        <w:tc>
          <w:tcPr>
            <w:tcW w:w="1554" w:type="pct"/>
            <w:vAlign w:val="center"/>
          </w:tcPr>
          <w:p w14:paraId="5866E606">
            <w:pPr>
              <w:pStyle w:val="5"/>
            </w:pPr>
            <w:r>
              <w:t>环境保护措施</w:t>
            </w:r>
          </w:p>
        </w:tc>
        <w:tc>
          <w:tcPr>
            <w:tcW w:w="1230" w:type="pct"/>
            <w:vAlign w:val="center"/>
          </w:tcPr>
          <w:p w14:paraId="25713E92">
            <w:pPr>
              <w:pStyle w:val="5"/>
            </w:pPr>
            <w:r>
              <w:t>执行标准</w:t>
            </w:r>
          </w:p>
        </w:tc>
      </w:tr>
      <w:tr w14:paraId="6DE74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vMerge w:val="restart"/>
            <w:vAlign w:val="center"/>
          </w:tcPr>
          <w:p w14:paraId="65C9273D">
            <w:pPr>
              <w:pStyle w:val="5"/>
            </w:pPr>
            <w:r>
              <w:t>大气</w:t>
            </w:r>
          </w:p>
          <w:p w14:paraId="52E9B500">
            <w:pPr>
              <w:pStyle w:val="5"/>
            </w:pPr>
            <w:r>
              <w:t>环境</w:t>
            </w:r>
          </w:p>
        </w:tc>
        <w:tc>
          <w:tcPr>
            <w:tcW w:w="797" w:type="pct"/>
            <w:vAlign w:val="center"/>
          </w:tcPr>
          <w:p w14:paraId="3CC73F16">
            <w:pPr>
              <w:pStyle w:val="5"/>
            </w:pPr>
            <w:r>
              <w:rPr>
                <w:rFonts w:hint="eastAsia"/>
              </w:rPr>
              <w:t>锅炉废气</w:t>
            </w:r>
          </w:p>
        </w:tc>
        <w:tc>
          <w:tcPr>
            <w:tcW w:w="797" w:type="pct"/>
            <w:vAlign w:val="center"/>
          </w:tcPr>
          <w:p w14:paraId="015E5436">
            <w:pPr>
              <w:pStyle w:val="5"/>
            </w:pPr>
            <w:r>
              <w:rPr>
                <w:rFonts w:hint="eastAsia"/>
              </w:rPr>
              <w:t>颗粒物、二氧化硫、氮氧化物、汞及其化合物、烟气黑度</w:t>
            </w:r>
          </w:p>
        </w:tc>
        <w:tc>
          <w:tcPr>
            <w:tcW w:w="1554" w:type="pct"/>
            <w:vAlign w:val="center"/>
          </w:tcPr>
          <w:p w14:paraId="17AC8FD2">
            <w:pPr>
              <w:pStyle w:val="5"/>
            </w:pPr>
            <w:r>
              <w:rPr>
                <w:rFonts w:hint="eastAsia"/>
              </w:rPr>
              <w:t>经</w:t>
            </w:r>
            <w:r>
              <w:rPr>
                <w:rFonts w:hint="eastAsia"/>
                <w:color w:val="auto"/>
                <w:highlight w:val="none"/>
              </w:rPr>
              <w:t>布袋</w:t>
            </w:r>
            <w:r>
              <w:rPr>
                <w:rFonts w:hint="eastAsia"/>
              </w:rPr>
              <w:t>除尘处理后30m排气筒（DA001）外排</w:t>
            </w:r>
          </w:p>
        </w:tc>
        <w:tc>
          <w:tcPr>
            <w:tcW w:w="1230" w:type="pct"/>
            <w:vAlign w:val="center"/>
          </w:tcPr>
          <w:p w14:paraId="188B2FAB">
            <w:pPr>
              <w:pStyle w:val="5"/>
            </w:pPr>
            <w:r>
              <w:rPr>
                <w:rFonts w:hint="eastAsia"/>
              </w:rPr>
              <w:t>《锅炉大气污染排放标准》（GB13271-2014）表3燃煤锅炉特别排放限值</w:t>
            </w:r>
          </w:p>
        </w:tc>
      </w:tr>
      <w:tr w14:paraId="2A27D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vMerge w:val="continue"/>
            <w:vAlign w:val="center"/>
          </w:tcPr>
          <w:p w14:paraId="4F82366A">
            <w:pPr>
              <w:pStyle w:val="5"/>
            </w:pPr>
          </w:p>
        </w:tc>
        <w:tc>
          <w:tcPr>
            <w:tcW w:w="797" w:type="pct"/>
            <w:vAlign w:val="center"/>
          </w:tcPr>
          <w:p w14:paraId="55B723F2">
            <w:pPr>
              <w:pStyle w:val="5"/>
            </w:pPr>
            <w:r>
              <w:rPr>
                <w:rFonts w:hint="eastAsia"/>
              </w:rPr>
              <w:t>生产车间异味</w:t>
            </w:r>
          </w:p>
        </w:tc>
        <w:tc>
          <w:tcPr>
            <w:tcW w:w="797" w:type="pct"/>
            <w:vAlign w:val="center"/>
          </w:tcPr>
          <w:p w14:paraId="09B5399A">
            <w:pPr>
              <w:pStyle w:val="5"/>
            </w:pPr>
            <w:r>
              <w:rPr>
                <w:rFonts w:hint="eastAsia"/>
              </w:rPr>
              <w:t>氨、硫化氢、臭气浓度</w:t>
            </w:r>
          </w:p>
        </w:tc>
        <w:tc>
          <w:tcPr>
            <w:tcW w:w="1554" w:type="pct"/>
            <w:vAlign w:val="center"/>
          </w:tcPr>
          <w:p w14:paraId="17D88A7B">
            <w:pPr>
              <w:pStyle w:val="5"/>
            </w:pPr>
            <w:r>
              <w:rPr>
                <w:rFonts w:hint="eastAsia"/>
              </w:rPr>
              <w:t>加强管理，食物残渣用专用容器密闭存放，由环卫部门每天清运，容器在餐厨垃圾清运后及时清洗，以及在车间内安装车间排风扇，加强车间通风</w:t>
            </w:r>
          </w:p>
        </w:tc>
        <w:tc>
          <w:tcPr>
            <w:tcW w:w="1230" w:type="pct"/>
            <w:vAlign w:val="center"/>
          </w:tcPr>
          <w:p w14:paraId="79641D57">
            <w:pPr>
              <w:pStyle w:val="5"/>
            </w:pPr>
            <w:r>
              <w:rPr>
                <w:rFonts w:hint="eastAsia"/>
              </w:rPr>
              <w:t>《恶臭污染物排放标准》（GB14554-93）二级新扩改建标准</w:t>
            </w:r>
          </w:p>
        </w:tc>
      </w:tr>
      <w:tr w14:paraId="6CABB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vMerge w:val="restart"/>
            <w:vAlign w:val="center"/>
          </w:tcPr>
          <w:p w14:paraId="0DF6A9D9">
            <w:pPr>
              <w:pStyle w:val="5"/>
            </w:pPr>
            <w:r>
              <w:t>地表水环境</w:t>
            </w:r>
          </w:p>
        </w:tc>
        <w:tc>
          <w:tcPr>
            <w:tcW w:w="797" w:type="pct"/>
            <w:vAlign w:val="center"/>
          </w:tcPr>
          <w:p w14:paraId="73E24B15">
            <w:pPr>
              <w:pStyle w:val="5"/>
            </w:pPr>
            <w:r>
              <w:t>生活污水</w:t>
            </w:r>
          </w:p>
        </w:tc>
        <w:tc>
          <w:tcPr>
            <w:tcW w:w="797" w:type="pct"/>
            <w:vAlign w:val="center"/>
          </w:tcPr>
          <w:p w14:paraId="642658AC">
            <w:pPr>
              <w:pStyle w:val="5"/>
            </w:pPr>
            <w:r>
              <w:t>COD</w:t>
            </w:r>
            <w:r>
              <w:rPr>
                <w:vertAlign w:val="subscript"/>
              </w:rPr>
              <w:t>5</w:t>
            </w:r>
            <w:r>
              <w:t>、</w:t>
            </w:r>
          </w:p>
          <w:p w14:paraId="74F84322">
            <w:pPr>
              <w:pStyle w:val="5"/>
            </w:pPr>
            <w:r>
              <w:rPr>
                <w:rFonts w:hint="eastAsia"/>
              </w:rPr>
              <w:t>NH</w:t>
            </w:r>
            <w:r>
              <w:rPr>
                <w:rFonts w:hint="eastAsia"/>
                <w:vertAlign w:val="subscript"/>
              </w:rPr>
              <w:t>3</w:t>
            </w:r>
            <w:r>
              <w:rPr>
                <w:rFonts w:hint="eastAsia"/>
              </w:rPr>
              <w:t>-N</w:t>
            </w:r>
            <w:r>
              <w:t>等</w:t>
            </w:r>
          </w:p>
        </w:tc>
        <w:tc>
          <w:tcPr>
            <w:tcW w:w="1554" w:type="pct"/>
            <w:vAlign w:val="center"/>
          </w:tcPr>
          <w:p w14:paraId="7DAF26CE">
            <w:pPr>
              <w:pStyle w:val="5"/>
            </w:pPr>
            <w:r>
              <w:rPr>
                <w:rFonts w:hint="eastAsia"/>
              </w:rPr>
              <w:t>经</w:t>
            </w:r>
            <w:r>
              <w:t>化粪池</w:t>
            </w:r>
            <w:r>
              <w:rPr>
                <w:rFonts w:hint="eastAsia"/>
              </w:rPr>
              <w:t>处理后用于周边农田施肥</w:t>
            </w:r>
          </w:p>
        </w:tc>
        <w:tc>
          <w:tcPr>
            <w:tcW w:w="1230" w:type="pct"/>
            <w:vAlign w:val="center"/>
          </w:tcPr>
          <w:p w14:paraId="1A0907AC">
            <w:pPr>
              <w:pStyle w:val="5"/>
            </w:pPr>
            <w:r>
              <w:t>不外排</w:t>
            </w:r>
          </w:p>
        </w:tc>
      </w:tr>
      <w:tr w14:paraId="75CBB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vMerge w:val="continue"/>
            <w:vAlign w:val="center"/>
          </w:tcPr>
          <w:p w14:paraId="253BE1F0">
            <w:pPr>
              <w:pStyle w:val="5"/>
            </w:pPr>
          </w:p>
        </w:tc>
        <w:tc>
          <w:tcPr>
            <w:tcW w:w="797" w:type="pct"/>
            <w:vAlign w:val="center"/>
          </w:tcPr>
          <w:p w14:paraId="10BCD307">
            <w:pPr>
              <w:pStyle w:val="5"/>
            </w:pPr>
            <w:r>
              <w:t>生产废水</w:t>
            </w:r>
          </w:p>
        </w:tc>
        <w:tc>
          <w:tcPr>
            <w:tcW w:w="797" w:type="pct"/>
            <w:vAlign w:val="center"/>
          </w:tcPr>
          <w:p w14:paraId="7EBF2962">
            <w:pPr>
              <w:pStyle w:val="5"/>
            </w:pPr>
            <w:r>
              <w:rPr>
                <w:rFonts w:hint="eastAsia"/>
              </w:rPr>
              <w:t>COD、BOD</w:t>
            </w:r>
            <w:r>
              <w:rPr>
                <w:rFonts w:hint="eastAsia"/>
                <w:vertAlign w:val="subscript"/>
              </w:rPr>
              <w:t>5</w:t>
            </w:r>
            <w:r>
              <w:rPr>
                <w:rFonts w:hint="eastAsia"/>
              </w:rPr>
              <w:t>、SS、</w:t>
            </w:r>
          </w:p>
          <w:p w14:paraId="068A98A1">
            <w:pPr>
              <w:pStyle w:val="5"/>
            </w:pPr>
            <w:r>
              <w:rPr>
                <w:rFonts w:hint="eastAsia"/>
              </w:rPr>
              <w:t>NH</w:t>
            </w:r>
            <w:r>
              <w:rPr>
                <w:rFonts w:hint="eastAsia"/>
                <w:vertAlign w:val="subscript"/>
              </w:rPr>
              <w:t>3</w:t>
            </w:r>
            <w:r>
              <w:rPr>
                <w:rFonts w:hint="eastAsia"/>
              </w:rPr>
              <w:t>-N、动植物油等</w:t>
            </w:r>
          </w:p>
        </w:tc>
        <w:tc>
          <w:tcPr>
            <w:tcW w:w="1554" w:type="pct"/>
            <w:vAlign w:val="center"/>
          </w:tcPr>
          <w:p w14:paraId="2177FF56">
            <w:pPr>
              <w:pStyle w:val="5"/>
            </w:pPr>
            <w:r>
              <w:rPr>
                <w:rFonts w:hint="eastAsia"/>
              </w:rPr>
              <w:t>餐具清洗废水和地面拖洗废水经隔油处理后排入沉淀池与纯水制备废水一起通过灌装运输车运至岳阳高新科技产业园区污水处理厂处理</w:t>
            </w:r>
          </w:p>
        </w:tc>
        <w:tc>
          <w:tcPr>
            <w:tcW w:w="1230" w:type="pct"/>
            <w:vAlign w:val="center"/>
          </w:tcPr>
          <w:p w14:paraId="286E9712">
            <w:pPr>
              <w:pStyle w:val="5"/>
            </w:pPr>
            <w:r>
              <w:rPr>
                <w:rFonts w:hint="eastAsia"/>
              </w:rPr>
              <w:t>不外排</w:t>
            </w:r>
          </w:p>
        </w:tc>
      </w:tr>
      <w:tr w14:paraId="1A5A3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vAlign w:val="center"/>
          </w:tcPr>
          <w:p w14:paraId="6753DF37">
            <w:pPr>
              <w:pStyle w:val="5"/>
            </w:pPr>
            <w:r>
              <w:t>声环境</w:t>
            </w:r>
          </w:p>
        </w:tc>
        <w:tc>
          <w:tcPr>
            <w:tcW w:w="797" w:type="pct"/>
            <w:vAlign w:val="center"/>
          </w:tcPr>
          <w:p w14:paraId="7DDA4314">
            <w:pPr>
              <w:pStyle w:val="5"/>
            </w:pPr>
            <w:r>
              <w:t>生产</w:t>
            </w:r>
          </w:p>
          <w:p w14:paraId="6C7BB2A4">
            <w:pPr>
              <w:pStyle w:val="5"/>
            </w:pPr>
            <w:r>
              <w:t>设备</w:t>
            </w:r>
          </w:p>
        </w:tc>
        <w:tc>
          <w:tcPr>
            <w:tcW w:w="797" w:type="pct"/>
            <w:vAlign w:val="center"/>
          </w:tcPr>
          <w:p w14:paraId="0227984A">
            <w:pPr>
              <w:pStyle w:val="5"/>
            </w:pPr>
            <w:r>
              <w:t>Leq(dBA)</w:t>
            </w:r>
          </w:p>
        </w:tc>
        <w:tc>
          <w:tcPr>
            <w:tcW w:w="1554" w:type="pct"/>
            <w:vAlign w:val="center"/>
          </w:tcPr>
          <w:p w14:paraId="710EDBD0">
            <w:pPr>
              <w:pStyle w:val="5"/>
            </w:pPr>
            <w:r>
              <w:t>基础减振</w:t>
            </w:r>
            <w:r>
              <w:rPr>
                <w:rFonts w:hint="eastAsia"/>
              </w:rPr>
              <w:t>、</w:t>
            </w:r>
            <w:r>
              <w:t>厂房隔声</w:t>
            </w:r>
            <w:r>
              <w:rPr>
                <w:rFonts w:hint="eastAsia"/>
              </w:rPr>
              <w:t>，</w:t>
            </w:r>
            <w:r>
              <w:t>加强管理</w:t>
            </w:r>
          </w:p>
        </w:tc>
        <w:tc>
          <w:tcPr>
            <w:tcW w:w="1230" w:type="pct"/>
            <w:vAlign w:val="center"/>
          </w:tcPr>
          <w:p w14:paraId="345F3F60">
            <w:pPr>
              <w:pStyle w:val="5"/>
            </w:pPr>
            <w:r>
              <w:rPr>
                <w:rFonts w:hint="eastAsia"/>
              </w:rPr>
              <w:t>厂界四周执行《工业企业厂界环境噪声排放标准》（GB12348-2008）中的2类标准</w:t>
            </w:r>
          </w:p>
        </w:tc>
      </w:tr>
      <w:tr w14:paraId="6E38A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vAlign w:val="center"/>
          </w:tcPr>
          <w:p w14:paraId="2D8B1A45">
            <w:pPr>
              <w:pStyle w:val="5"/>
            </w:pPr>
            <w:r>
              <w:t>固体</w:t>
            </w:r>
          </w:p>
          <w:p w14:paraId="7A7ACA8D">
            <w:pPr>
              <w:pStyle w:val="5"/>
            </w:pPr>
            <w:r>
              <w:t>废物</w:t>
            </w:r>
          </w:p>
        </w:tc>
        <w:tc>
          <w:tcPr>
            <w:tcW w:w="4381" w:type="pct"/>
            <w:gridSpan w:val="4"/>
            <w:vAlign w:val="center"/>
          </w:tcPr>
          <w:p w14:paraId="061966C1">
            <w:pPr>
              <w:pStyle w:val="5"/>
            </w:pPr>
            <w:r>
              <w:t>生活垃圾</w:t>
            </w:r>
            <w:r>
              <w:rPr>
                <w:rFonts w:hint="eastAsia"/>
              </w:rPr>
              <w:t>收集后交由环卫部门处理</w:t>
            </w:r>
            <w:r>
              <w:t>；</w:t>
            </w:r>
            <w:r>
              <w:rPr>
                <w:rFonts w:hint="eastAsia"/>
              </w:rPr>
              <w:t>食物残渣和废油脂交由餐厨垃圾处理公司等有资质单位处理；锅炉灰渣和除尘</w:t>
            </w:r>
            <w:r>
              <w:rPr>
                <w:rFonts w:hint="eastAsia"/>
                <w:lang w:val="en-US" w:eastAsia="zh-CN"/>
              </w:rPr>
              <w:t>器</w:t>
            </w:r>
            <w:r>
              <w:rPr>
                <w:rFonts w:hint="eastAsia"/>
              </w:rPr>
              <w:t>收集的粉尘收集后交由周边农户做肥料；沉渣和废包装材料交由环卫部门处理；纯水制备废滤芯交由厂家回收</w:t>
            </w:r>
          </w:p>
        </w:tc>
      </w:tr>
      <w:tr w14:paraId="2FEC1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vAlign w:val="center"/>
          </w:tcPr>
          <w:p w14:paraId="4E578C73">
            <w:pPr>
              <w:pStyle w:val="5"/>
            </w:pPr>
            <w:r>
              <w:t>土壤及地下水污染防治措施</w:t>
            </w:r>
          </w:p>
        </w:tc>
        <w:tc>
          <w:tcPr>
            <w:tcW w:w="4381" w:type="pct"/>
            <w:gridSpan w:val="4"/>
            <w:vAlign w:val="center"/>
          </w:tcPr>
          <w:p w14:paraId="2C9122A2">
            <w:pPr>
              <w:pStyle w:val="5"/>
            </w:pPr>
            <w:r>
              <w:rPr>
                <w:rFonts w:hint="eastAsia"/>
              </w:rPr>
              <w:t>/</w:t>
            </w:r>
          </w:p>
        </w:tc>
      </w:tr>
      <w:tr w14:paraId="6B152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vAlign w:val="center"/>
          </w:tcPr>
          <w:p w14:paraId="2901F330">
            <w:pPr>
              <w:pStyle w:val="5"/>
            </w:pPr>
            <w:r>
              <w:t>环境风险防范措施</w:t>
            </w:r>
          </w:p>
        </w:tc>
        <w:tc>
          <w:tcPr>
            <w:tcW w:w="4381" w:type="pct"/>
            <w:gridSpan w:val="4"/>
            <w:vAlign w:val="center"/>
          </w:tcPr>
          <w:p w14:paraId="4F0B7594">
            <w:pPr>
              <w:pStyle w:val="5"/>
            </w:pPr>
            <w:r>
              <w:t>①制定风险防范管理制度；②生产操作工人上岗前必须进行专业技术培训和安装生产培训，严格管理，提高职工的安全环保意识，防止和减少因人为因素造成的风险事故机率。</w:t>
            </w:r>
          </w:p>
        </w:tc>
      </w:tr>
      <w:tr w14:paraId="67FD4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18" w:type="pct"/>
            <w:vAlign w:val="center"/>
          </w:tcPr>
          <w:p w14:paraId="63ABF8F5">
            <w:pPr>
              <w:pStyle w:val="5"/>
            </w:pPr>
            <w:r>
              <w:t>其他环境管理要求</w:t>
            </w:r>
          </w:p>
        </w:tc>
        <w:tc>
          <w:tcPr>
            <w:tcW w:w="4381" w:type="pct"/>
            <w:gridSpan w:val="4"/>
            <w:vAlign w:val="center"/>
          </w:tcPr>
          <w:p w14:paraId="3EDD15FA">
            <w:pPr>
              <w:pStyle w:val="5"/>
              <w:ind w:firstLine="480" w:firstLineChars="200"/>
              <w:jc w:val="both"/>
            </w:pPr>
            <w:r>
              <w:t>①环境管理</w:t>
            </w:r>
          </w:p>
          <w:p w14:paraId="27FAC329">
            <w:pPr>
              <w:pStyle w:val="5"/>
              <w:ind w:firstLine="480" w:firstLineChars="200"/>
              <w:jc w:val="both"/>
            </w:pPr>
            <w:r>
              <w:t>根据《关于开展排放口规范化整治工作的通知》（国家环境保护总局环发[1999]24号）及《排放口规范化整治技术》（国家环境保护总局环发[1999]24 号文附件二）：一切新建、改建的排污单位以及限期治理的排污单位，必须在建设污染治理设施的同时，建设规范化排污口。项目工程投产时，各类排污口必须规范化建设和管理，而且规范化工作应与污染治理同步实施，即治理设施完工时，规范化工作必须同时完成，并列入污染物治理设施的验收内容。</w:t>
            </w:r>
          </w:p>
          <w:p w14:paraId="54F89874">
            <w:pPr>
              <w:pStyle w:val="5"/>
              <w:ind w:firstLine="480" w:firstLineChars="200"/>
              <w:jc w:val="both"/>
            </w:pPr>
            <w:r>
              <w:t>企业污染物排放口（源）及固体废物贮存、堆放场必须按照国家标准《环境保护图形标志》（GB15562.1-1995）的规定设置与之相适应的环境保护图形标志牌，环境保护图形标志牌设置位置应距污染物排放口（源）、固体废物贮存（堆放）场或采样点较近且醒目处，并能长久保留。建设单位必须对排污口进行规范化建设，设立排放口标志，标志牌应注明污染物名称以警示周围群众。建设单位应将相关排污情况，如：排污口的性质、编号、排污口的位置以及主要排放的污染物种类、数量、浓度、排放规律及污染治理设施的运行情况等进行建档管理。</w:t>
            </w:r>
          </w:p>
          <w:p w14:paraId="1A41371D">
            <w:pPr>
              <w:pStyle w:val="5"/>
              <w:ind w:firstLine="480" w:firstLineChars="200"/>
              <w:jc w:val="both"/>
            </w:pPr>
            <w:r>
              <w:t>②</w:t>
            </w:r>
            <w:r>
              <w:rPr>
                <w:rFonts w:hint="eastAsia"/>
              </w:rPr>
              <w:t>排污许可</w:t>
            </w:r>
          </w:p>
          <w:p w14:paraId="7E3DD80E">
            <w:pPr>
              <w:pStyle w:val="5"/>
              <w:ind w:firstLine="480" w:firstLineChars="200"/>
              <w:jc w:val="both"/>
            </w:pPr>
            <w:r>
              <w:t>根据《排污许可证申请与核发技术规范</w:t>
            </w:r>
            <w:r>
              <w:rPr>
                <w:rFonts w:hint="eastAsia"/>
              </w:rPr>
              <w:t xml:space="preserve">  </w:t>
            </w:r>
            <w:r>
              <w:t>总则》（HJ942-2018）、《排污许可管理办法（试行）》（环保部令第48号）及《固定污染源排污许可分类管理名录（2019 年版）》（第11号令），本项目属“</w:t>
            </w:r>
            <w:r>
              <w:rPr>
                <w:rFonts w:hint="eastAsia"/>
              </w:rPr>
              <w:t>三十九</w:t>
            </w:r>
            <w:r>
              <w:t>、</w:t>
            </w:r>
            <w:r>
              <w:rPr>
                <w:rFonts w:hint="eastAsia"/>
              </w:rPr>
              <w:t>电力、热力生产和供应业44</w:t>
            </w:r>
            <w:r>
              <w:t>-</w:t>
            </w:r>
            <w:r>
              <w:rPr>
                <w:rFonts w:hint="eastAsia"/>
              </w:rPr>
              <w:t>96</w:t>
            </w:r>
            <w:r>
              <w:t xml:space="preserve"> 热力生产和供应443</w:t>
            </w:r>
            <w:r>
              <w:rPr>
                <w:rFonts w:hint="eastAsia"/>
              </w:rPr>
              <w:t>-单台且合计出力20吨/小时（14 兆瓦）以下的锅炉</w:t>
            </w:r>
            <w:r>
              <w:t>”，</w:t>
            </w:r>
            <w:r>
              <w:rPr>
                <w:rFonts w:hint="eastAsia"/>
              </w:rPr>
              <w:t>本项目锅炉为2.</w:t>
            </w:r>
            <w:r>
              <w:rPr>
                <w:rFonts w:hint="eastAsia"/>
                <w:lang w:val="en-US" w:eastAsia="zh-CN"/>
              </w:rPr>
              <w:t>1</w:t>
            </w:r>
            <w:r>
              <w:rPr>
                <w:rFonts w:hint="eastAsia"/>
              </w:rPr>
              <w:t>t/h生物质锅炉，为</w:t>
            </w:r>
            <w:r>
              <w:t>“</w:t>
            </w:r>
            <w:r>
              <w:rPr>
                <w:rFonts w:hint="eastAsia"/>
              </w:rPr>
              <w:t>简化</w:t>
            </w:r>
            <w:r>
              <w:t>管理”</w:t>
            </w:r>
            <w:r>
              <w:rPr>
                <w:rFonts w:hint="eastAsia"/>
              </w:rPr>
              <w:t>，</w:t>
            </w:r>
            <w:r>
              <w:t>在排污前须</w:t>
            </w:r>
            <w:r>
              <w:rPr>
                <w:rFonts w:hint="eastAsia"/>
              </w:rPr>
              <w:t>依法</w:t>
            </w:r>
            <w:r>
              <w:t>履行排污许可手续。</w:t>
            </w:r>
          </w:p>
          <w:p w14:paraId="097A597C">
            <w:pPr>
              <w:pStyle w:val="5"/>
              <w:ind w:firstLine="480" w:firstLineChars="200"/>
              <w:jc w:val="both"/>
            </w:pPr>
            <w:r>
              <w:t>③排污口及标识标牌规范化</w:t>
            </w:r>
          </w:p>
          <w:p w14:paraId="5E30706F">
            <w:pPr>
              <w:pStyle w:val="5"/>
              <w:ind w:firstLine="480" w:firstLineChars="200"/>
              <w:jc w:val="both"/>
            </w:pPr>
            <w:r>
              <w:t>企业根据《排污口规范化整治技术要求（试行）》（环监[1996]470号）和《&lt;环境保护图形标志&gt;实施细则（试行）》（环监[1996]463 号）等文件的规定，各废气和废水排放口均设置标准化采样孔或者采样口，各固废暂存场、主要噪声源均应设置规范化的标志牌。</w:t>
            </w:r>
          </w:p>
          <w:p w14:paraId="699E4E8B">
            <w:pPr>
              <w:pStyle w:val="5"/>
              <w:ind w:firstLine="480" w:firstLineChars="200"/>
              <w:jc w:val="both"/>
            </w:pPr>
            <w:r>
              <w:rPr>
                <w:rFonts w:hint="eastAsia"/>
              </w:rPr>
              <w:t>A、</w:t>
            </w:r>
            <w:r>
              <w:t>排污口管理。建设单位应在各个排污口处竖立标志牌，并如实填《中华人民共和国规范化排污口标记登记证》，由环保部门签发。环保主管部门和建设单位可分别按以下内容建立排污口管理的专门档案：排污口性质和编号；位置；排放主要污染物种类、数量、浓度；排放去向；达标情况；治理设施运行情况及整改意见。</w:t>
            </w:r>
          </w:p>
          <w:p w14:paraId="782DB690">
            <w:pPr>
              <w:pStyle w:val="5"/>
              <w:ind w:firstLine="480" w:firstLineChars="200"/>
              <w:jc w:val="both"/>
            </w:pPr>
            <w:r>
              <w:rPr>
                <w:rFonts w:hint="eastAsia"/>
              </w:rPr>
              <w:t>B、</w:t>
            </w:r>
            <w:r>
              <w:t>环境保护图形标志在厂区的废气排放源、固体废物贮存处置场应设置环境保护图形标志，图形符号分为提示图形和警告图形符号两种，分别按GB15562.1-1995、GB15562.2-1995执行。</w:t>
            </w:r>
          </w:p>
          <w:p w14:paraId="16C2B170">
            <w:pPr>
              <w:pStyle w:val="18"/>
            </w:pPr>
            <w:r>
              <w:t>表5-1</w:t>
            </w:r>
            <w:r>
              <w:rPr>
                <w:rFonts w:hint="eastAsia"/>
              </w:rPr>
              <w:t xml:space="preserve">  </w:t>
            </w:r>
            <w:r>
              <w:t>环境保护图形符号</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2437"/>
              <w:gridCol w:w="1957"/>
              <w:gridCol w:w="976"/>
              <w:gridCol w:w="1256"/>
            </w:tblGrid>
            <w:tr w14:paraId="11021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14:paraId="067D34C8">
                  <w:pPr>
                    <w:pStyle w:val="15"/>
                  </w:pPr>
                  <w:r>
                    <w:t>序号</w:t>
                  </w:r>
                </w:p>
              </w:tc>
              <w:tc>
                <w:tcPr>
                  <w:tcW w:w="1677" w:type="pct"/>
                  <w:vAlign w:val="center"/>
                </w:tcPr>
                <w:p w14:paraId="3C30699F">
                  <w:pPr>
                    <w:pStyle w:val="15"/>
                  </w:pPr>
                  <w:r>
                    <w:t>提示图形符号</w:t>
                  </w:r>
                </w:p>
              </w:tc>
              <w:tc>
                <w:tcPr>
                  <w:tcW w:w="1347" w:type="pct"/>
                  <w:vAlign w:val="center"/>
                </w:tcPr>
                <w:p w14:paraId="6C699E77">
                  <w:pPr>
                    <w:pStyle w:val="15"/>
                  </w:pPr>
                  <w:r>
                    <w:t>警告图形符号</w:t>
                  </w:r>
                </w:p>
              </w:tc>
              <w:tc>
                <w:tcPr>
                  <w:tcW w:w="672" w:type="pct"/>
                  <w:vAlign w:val="center"/>
                </w:tcPr>
                <w:p w14:paraId="2FE6B13D">
                  <w:pPr>
                    <w:pStyle w:val="15"/>
                  </w:pPr>
                  <w:r>
                    <w:t>名称</w:t>
                  </w:r>
                </w:p>
              </w:tc>
              <w:tc>
                <w:tcPr>
                  <w:tcW w:w="864" w:type="pct"/>
                  <w:vAlign w:val="center"/>
                </w:tcPr>
                <w:p w14:paraId="5A46A972">
                  <w:pPr>
                    <w:pStyle w:val="15"/>
                  </w:pPr>
                  <w:r>
                    <w:t>功能</w:t>
                  </w:r>
                </w:p>
              </w:tc>
            </w:tr>
            <w:tr w14:paraId="78E0A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14:paraId="22E69EEA">
                  <w:pPr>
                    <w:pStyle w:val="15"/>
                  </w:pPr>
                  <w:r>
                    <w:rPr>
                      <w:rFonts w:hint="eastAsia"/>
                    </w:rPr>
                    <w:t>1</w:t>
                  </w:r>
                </w:p>
              </w:tc>
              <w:tc>
                <w:tcPr>
                  <w:tcW w:w="1677" w:type="pct"/>
                  <w:vAlign w:val="center"/>
                </w:tcPr>
                <w:p w14:paraId="6CDAF25F">
                  <w:pPr>
                    <w:pStyle w:val="15"/>
                  </w:pPr>
                  <w:r>
                    <w:rPr>
                      <w:szCs w:val="21"/>
                    </w:rPr>
                    <w:drawing>
                      <wp:inline distT="0" distB="0" distL="114300" distR="114300">
                        <wp:extent cx="1407795" cy="880110"/>
                        <wp:effectExtent l="0" t="0" r="1905" b="15240"/>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22"/>
                                <a:stretch>
                                  <a:fillRect/>
                                </a:stretch>
                              </pic:blipFill>
                              <pic:spPr>
                                <a:xfrm>
                                  <a:off x="0" y="0"/>
                                  <a:ext cx="1407795" cy="880110"/>
                                </a:xfrm>
                                <a:prstGeom prst="rect">
                                  <a:avLst/>
                                </a:prstGeom>
                                <a:noFill/>
                                <a:ln>
                                  <a:noFill/>
                                </a:ln>
                              </pic:spPr>
                            </pic:pic>
                          </a:graphicData>
                        </a:graphic>
                      </wp:inline>
                    </w:drawing>
                  </w:r>
                </w:p>
              </w:tc>
              <w:tc>
                <w:tcPr>
                  <w:tcW w:w="1347" w:type="pct"/>
                  <w:vAlign w:val="center"/>
                </w:tcPr>
                <w:p w14:paraId="4AD1A65D">
                  <w:pPr>
                    <w:pStyle w:val="15"/>
                  </w:pPr>
                  <w:r>
                    <w:rPr>
                      <w:rFonts w:hint="eastAsia"/>
                      <w:szCs w:val="21"/>
                    </w:rPr>
                    <w:drawing>
                      <wp:inline distT="0" distB="0" distL="114300" distR="114300">
                        <wp:extent cx="992505" cy="883920"/>
                        <wp:effectExtent l="0" t="0" r="17145" b="11430"/>
                        <wp:docPr id="25" name="图片 9" descr="1710902773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descr="1710902773317"/>
                                <pic:cNvPicPr>
                                  <a:picLocks noChangeAspect="1"/>
                                </pic:cNvPicPr>
                              </pic:nvPicPr>
                              <pic:blipFill>
                                <a:blip r:embed="rId23"/>
                                <a:stretch>
                                  <a:fillRect/>
                                </a:stretch>
                              </pic:blipFill>
                              <pic:spPr>
                                <a:xfrm>
                                  <a:off x="0" y="0"/>
                                  <a:ext cx="992505" cy="883920"/>
                                </a:xfrm>
                                <a:prstGeom prst="rect">
                                  <a:avLst/>
                                </a:prstGeom>
                                <a:noFill/>
                                <a:ln>
                                  <a:noFill/>
                                </a:ln>
                              </pic:spPr>
                            </pic:pic>
                          </a:graphicData>
                        </a:graphic>
                      </wp:inline>
                    </w:drawing>
                  </w:r>
                </w:p>
              </w:tc>
              <w:tc>
                <w:tcPr>
                  <w:tcW w:w="672" w:type="pct"/>
                  <w:vAlign w:val="center"/>
                </w:tcPr>
                <w:p w14:paraId="298E4F0B">
                  <w:pPr>
                    <w:pStyle w:val="15"/>
                  </w:pPr>
                  <w:r>
                    <w:t>废气排放口</w:t>
                  </w:r>
                </w:p>
              </w:tc>
              <w:tc>
                <w:tcPr>
                  <w:tcW w:w="864" w:type="pct"/>
                  <w:vAlign w:val="center"/>
                </w:tcPr>
                <w:p w14:paraId="25B581CA">
                  <w:pPr>
                    <w:pStyle w:val="15"/>
                  </w:pPr>
                  <w:r>
                    <w:t>表示废气向大气环境排放</w:t>
                  </w:r>
                </w:p>
              </w:tc>
            </w:tr>
            <w:tr w14:paraId="697DC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14:paraId="60704580">
                  <w:pPr>
                    <w:pStyle w:val="15"/>
                  </w:pPr>
                  <w:r>
                    <w:rPr>
                      <w:rFonts w:hint="eastAsia"/>
                    </w:rPr>
                    <w:t>2</w:t>
                  </w:r>
                </w:p>
              </w:tc>
              <w:tc>
                <w:tcPr>
                  <w:tcW w:w="1677" w:type="pct"/>
                  <w:vAlign w:val="center"/>
                </w:tcPr>
                <w:p w14:paraId="5C059F4B">
                  <w:pPr>
                    <w:pStyle w:val="15"/>
                  </w:pPr>
                  <w:r>
                    <w:rPr>
                      <w:szCs w:val="21"/>
                    </w:rPr>
                    <w:drawing>
                      <wp:inline distT="0" distB="0" distL="114300" distR="114300">
                        <wp:extent cx="1382395" cy="864235"/>
                        <wp:effectExtent l="0" t="0" r="8255" b="12065"/>
                        <wp:docPr id="3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0"/>
                                <pic:cNvPicPr>
                                  <a:picLocks noChangeAspect="1"/>
                                </pic:cNvPicPr>
                              </pic:nvPicPr>
                              <pic:blipFill>
                                <a:blip r:embed="rId24"/>
                                <a:stretch>
                                  <a:fillRect/>
                                </a:stretch>
                              </pic:blipFill>
                              <pic:spPr>
                                <a:xfrm>
                                  <a:off x="0" y="0"/>
                                  <a:ext cx="1382395" cy="864235"/>
                                </a:xfrm>
                                <a:prstGeom prst="rect">
                                  <a:avLst/>
                                </a:prstGeom>
                                <a:noFill/>
                                <a:ln>
                                  <a:noFill/>
                                </a:ln>
                              </pic:spPr>
                            </pic:pic>
                          </a:graphicData>
                        </a:graphic>
                      </wp:inline>
                    </w:drawing>
                  </w:r>
                </w:p>
              </w:tc>
              <w:tc>
                <w:tcPr>
                  <w:tcW w:w="1347" w:type="pct"/>
                  <w:vAlign w:val="center"/>
                </w:tcPr>
                <w:p w14:paraId="224C6AE1">
                  <w:pPr>
                    <w:pStyle w:val="15"/>
                  </w:pPr>
                  <w:r>
                    <w:rPr>
                      <w:rFonts w:hint="eastAsia"/>
                      <w:szCs w:val="21"/>
                    </w:rPr>
                    <w:drawing>
                      <wp:inline distT="0" distB="0" distL="114300" distR="114300">
                        <wp:extent cx="1014095" cy="878840"/>
                        <wp:effectExtent l="0" t="0" r="14605" b="16510"/>
                        <wp:docPr id="36" name="图片 11" descr="1710902844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1" descr="1710902844529"/>
                                <pic:cNvPicPr>
                                  <a:picLocks noChangeAspect="1"/>
                                </pic:cNvPicPr>
                              </pic:nvPicPr>
                              <pic:blipFill>
                                <a:blip r:embed="rId25"/>
                                <a:stretch>
                                  <a:fillRect/>
                                </a:stretch>
                              </pic:blipFill>
                              <pic:spPr>
                                <a:xfrm>
                                  <a:off x="0" y="0"/>
                                  <a:ext cx="1014095" cy="878840"/>
                                </a:xfrm>
                                <a:prstGeom prst="rect">
                                  <a:avLst/>
                                </a:prstGeom>
                                <a:noFill/>
                                <a:ln>
                                  <a:noFill/>
                                </a:ln>
                              </pic:spPr>
                            </pic:pic>
                          </a:graphicData>
                        </a:graphic>
                      </wp:inline>
                    </w:drawing>
                  </w:r>
                </w:p>
              </w:tc>
              <w:tc>
                <w:tcPr>
                  <w:tcW w:w="672" w:type="pct"/>
                  <w:vAlign w:val="center"/>
                </w:tcPr>
                <w:p w14:paraId="023E44C7">
                  <w:pPr>
                    <w:pStyle w:val="15"/>
                  </w:pPr>
                  <w:r>
                    <w:rPr>
                      <w:rFonts w:hint="eastAsia"/>
                      <w:szCs w:val="21"/>
                    </w:rPr>
                    <w:t>噪声排放源</w:t>
                  </w:r>
                </w:p>
              </w:tc>
              <w:tc>
                <w:tcPr>
                  <w:tcW w:w="864" w:type="pct"/>
                  <w:vAlign w:val="center"/>
                </w:tcPr>
                <w:p w14:paraId="57CF5AAD">
                  <w:pPr>
                    <w:pStyle w:val="15"/>
                  </w:pPr>
                  <w:r>
                    <w:rPr>
                      <w:rFonts w:hint="eastAsia"/>
                      <w:szCs w:val="21"/>
                    </w:rPr>
                    <w:t>表示噪声向外环境排放</w:t>
                  </w:r>
                </w:p>
              </w:tc>
            </w:tr>
            <w:tr w14:paraId="1A1FE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14:paraId="7191A271">
                  <w:pPr>
                    <w:pStyle w:val="15"/>
                  </w:pPr>
                  <w:r>
                    <w:rPr>
                      <w:rFonts w:hint="eastAsia"/>
                    </w:rPr>
                    <w:t>3</w:t>
                  </w:r>
                </w:p>
              </w:tc>
              <w:tc>
                <w:tcPr>
                  <w:tcW w:w="1677" w:type="pct"/>
                  <w:vAlign w:val="center"/>
                </w:tcPr>
                <w:p w14:paraId="0987656E">
                  <w:pPr>
                    <w:pStyle w:val="15"/>
                  </w:pPr>
                  <w:r>
                    <w:rPr>
                      <w:rFonts w:hint="eastAsia"/>
                      <w:szCs w:val="21"/>
                    </w:rPr>
                    <w:drawing>
                      <wp:inline distT="0" distB="0" distL="114300" distR="114300">
                        <wp:extent cx="1365250" cy="915670"/>
                        <wp:effectExtent l="0" t="0" r="6350" b="17780"/>
                        <wp:docPr id="38" name="图片 12" descr="13b48be79e599d775d7d21d52973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2" descr="13b48be79e599d775d7d21d52973691"/>
                                <pic:cNvPicPr>
                                  <a:picLocks noChangeAspect="1"/>
                                </pic:cNvPicPr>
                              </pic:nvPicPr>
                              <pic:blipFill>
                                <a:blip r:embed="rId26"/>
                                <a:stretch>
                                  <a:fillRect/>
                                </a:stretch>
                              </pic:blipFill>
                              <pic:spPr>
                                <a:xfrm>
                                  <a:off x="0" y="0"/>
                                  <a:ext cx="1365250" cy="915670"/>
                                </a:xfrm>
                                <a:prstGeom prst="rect">
                                  <a:avLst/>
                                </a:prstGeom>
                                <a:noFill/>
                                <a:ln>
                                  <a:noFill/>
                                </a:ln>
                              </pic:spPr>
                            </pic:pic>
                          </a:graphicData>
                        </a:graphic>
                      </wp:inline>
                    </w:drawing>
                  </w:r>
                </w:p>
              </w:tc>
              <w:tc>
                <w:tcPr>
                  <w:tcW w:w="1347" w:type="pct"/>
                  <w:vAlign w:val="center"/>
                </w:tcPr>
                <w:p w14:paraId="6CBA9643">
                  <w:pPr>
                    <w:pStyle w:val="15"/>
                  </w:pPr>
                  <w:r>
                    <w:rPr>
                      <w:rFonts w:hint="eastAsia"/>
                      <w:szCs w:val="21"/>
                    </w:rPr>
                    <w:drawing>
                      <wp:inline distT="0" distB="0" distL="114300" distR="114300">
                        <wp:extent cx="1039495" cy="887730"/>
                        <wp:effectExtent l="0" t="0" r="8255" b="7620"/>
                        <wp:docPr id="39" name="图片 13" descr="1710902921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3" descr="1710902921779"/>
                                <pic:cNvPicPr>
                                  <a:picLocks noChangeAspect="1"/>
                                </pic:cNvPicPr>
                              </pic:nvPicPr>
                              <pic:blipFill>
                                <a:blip r:embed="rId27"/>
                                <a:stretch>
                                  <a:fillRect/>
                                </a:stretch>
                              </pic:blipFill>
                              <pic:spPr>
                                <a:xfrm>
                                  <a:off x="0" y="0"/>
                                  <a:ext cx="1039495" cy="887730"/>
                                </a:xfrm>
                                <a:prstGeom prst="rect">
                                  <a:avLst/>
                                </a:prstGeom>
                                <a:noFill/>
                                <a:ln>
                                  <a:noFill/>
                                </a:ln>
                              </pic:spPr>
                            </pic:pic>
                          </a:graphicData>
                        </a:graphic>
                      </wp:inline>
                    </w:drawing>
                  </w:r>
                </w:p>
              </w:tc>
              <w:tc>
                <w:tcPr>
                  <w:tcW w:w="672" w:type="pct"/>
                  <w:vAlign w:val="center"/>
                </w:tcPr>
                <w:p w14:paraId="63730646">
                  <w:pPr>
                    <w:pStyle w:val="15"/>
                  </w:pPr>
                  <w:r>
                    <w:rPr>
                      <w:rFonts w:hint="eastAsia"/>
                      <w:szCs w:val="21"/>
                    </w:rPr>
                    <w:t>一般固体废物</w:t>
                  </w:r>
                </w:p>
              </w:tc>
              <w:tc>
                <w:tcPr>
                  <w:tcW w:w="864" w:type="pct"/>
                  <w:vAlign w:val="center"/>
                </w:tcPr>
                <w:p w14:paraId="4836A8A3">
                  <w:pPr>
                    <w:pStyle w:val="15"/>
                  </w:pPr>
                  <w:r>
                    <w:t>表示一般固体废物贮存、处置</w:t>
                  </w:r>
                </w:p>
              </w:tc>
            </w:tr>
          </w:tbl>
          <w:p w14:paraId="55A8A95E">
            <w:pPr>
              <w:pStyle w:val="18"/>
            </w:pPr>
          </w:p>
          <w:p w14:paraId="4C01852C">
            <w:pPr>
              <w:pStyle w:val="5"/>
              <w:ind w:firstLine="480" w:firstLineChars="200"/>
              <w:jc w:val="both"/>
            </w:pPr>
            <w:r>
              <w:t>④竣工环境保护验收</w:t>
            </w:r>
            <w:r>
              <w:rPr>
                <w:rFonts w:hint="eastAsia"/>
              </w:rPr>
              <w:t>内容和要求</w:t>
            </w:r>
          </w:p>
          <w:p w14:paraId="768CE54E">
            <w:pPr>
              <w:pStyle w:val="5"/>
              <w:ind w:firstLine="480" w:firstLineChars="200"/>
              <w:jc w:val="both"/>
            </w:pPr>
            <w:r>
              <w:t>建设项目竣工环境保护企业自行验收工作程序：</w:t>
            </w:r>
          </w:p>
          <w:p w14:paraId="2655B61A">
            <w:pPr>
              <w:pStyle w:val="5"/>
              <w:ind w:firstLine="480" w:firstLineChars="200"/>
              <w:jc w:val="both"/>
            </w:pPr>
            <w:r>
              <w:rPr>
                <w:rFonts w:hint="eastAsia"/>
              </w:rPr>
              <w:t>A、</w:t>
            </w:r>
            <w:r>
              <w:t>在建设项目竣工后、正式投入生产或运行前，企业按照环境影响报告表及其批复文件要求，对与主体工程配套建设的环境保护设施落实情况进行查验，落实“三同时”监督管理要求。同时在竣工验收之前，完成企业突发环境事件应急预案编制，并报主管部门备案。</w:t>
            </w:r>
          </w:p>
          <w:p w14:paraId="4C51B48D">
            <w:pPr>
              <w:pStyle w:val="5"/>
              <w:ind w:firstLine="480" w:firstLineChars="200"/>
              <w:jc w:val="both"/>
            </w:pPr>
            <w:r>
              <w:rPr>
                <w:rFonts w:hint="eastAsia"/>
              </w:rPr>
              <w:t>B、</w:t>
            </w:r>
            <w:r>
              <w:t>按照环境保护主管部门制定的竣工环境保护验收技术规范，企业自行编制或委托具备相应技术能力的机构，对建设项目环境保护设施落实情况进行调查，开展相关环境监测，编制竣工环境保护验收调查（监测）报告。企业、验收调查（监测）机构及其相关人员对验收调查（监测）报告结论终身负责。</w:t>
            </w:r>
          </w:p>
          <w:p w14:paraId="5F42A799">
            <w:pPr>
              <w:pStyle w:val="5"/>
              <w:ind w:firstLine="480" w:firstLineChars="200"/>
              <w:jc w:val="both"/>
            </w:pPr>
            <w:r>
              <w:rPr>
                <w:rFonts w:hint="eastAsia"/>
              </w:rPr>
              <w:t>C、</w:t>
            </w:r>
            <w:r>
              <w:t>验收调查（监测）报告编制完成后，由企业法人组织对建设项目环境保护设施和环境保护措施进行验收，形成书面报告备查，并向社会公开。</w:t>
            </w:r>
          </w:p>
          <w:p w14:paraId="4D3B3622">
            <w:pPr>
              <w:pStyle w:val="5"/>
              <w:ind w:firstLine="480" w:firstLineChars="200"/>
              <w:jc w:val="both"/>
            </w:pPr>
            <w:r>
              <w:rPr>
                <w:rFonts w:hint="eastAsia"/>
              </w:rPr>
              <w:t>D、</w:t>
            </w:r>
            <w:r>
              <w:t>企业自行组织竣工环境保护验收时，应成立验收组，对建设项目环境保护设施及其他环境保护措施进行资料审查、现场踏勘，形成验收意见，验收组成员名单附后。</w:t>
            </w:r>
          </w:p>
          <w:p w14:paraId="28D88D9B">
            <w:pPr>
              <w:ind w:firstLine="0" w:firstLineChars="0"/>
            </w:pPr>
          </w:p>
          <w:p w14:paraId="6E19B77F">
            <w:pPr>
              <w:pStyle w:val="5"/>
              <w:jc w:val="both"/>
            </w:pPr>
          </w:p>
          <w:p w14:paraId="545E342B">
            <w:pPr>
              <w:pStyle w:val="5"/>
            </w:pPr>
          </w:p>
          <w:p w14:paraId="4BE9CD7D">
            <w:pPr>
              <w:pStyle w:val="5"/>
              <w:jc w:val="both"/>
            </w:pPr>
          </w:p>
          <w:p w14:paraId="44881825">
            <w:pPr>
              <w:pStyle w:val="5"/>
            </w:pPr>
          </w:p>
          <w:p w14:paraId="37BAEB26">
            <w:pPr>
              <w:pStyle w:val="5"/>
              <w:jc w:val="both"/>
            </w:pPr>
          </w:p>
        </w:tc>
      </w:tr>
    </w:tbl>
    <w:p w14:paraId="58D63F2A">
      <w:pPr>
        <w:ind w:firstLine="480"/>
      </w:pPr>
      <w:r>
        <w:rPr>
          <w:rFonts w:hint="eastAsia"/>
        </w:rPr>
        <w:br w:type="page"/>
      </w:r>
    </w:p>
    <w:p w14:paraId="3998ADE5">
      <w:pPr>
        <w:pStyle w:val="2"/>
        <w:numPr>
          <w:ilvl w:val="0"/>
          <w:numId w:val="4"/>
        </w:numPr>
      </w:pPr>
      <w:bookmarkStart w:id="16" w:name="_Toc17199"/>
      <w:bookmarkStart w:id="17" w:name="_Toc18087"/>
      <w:r>
        <w:rPr>
          <w:rFonts w:hint="eastAsia"/>
        </w:rPr>
        <w:t>结论</w:t>
      </w:r>
      <w:bookmarkEnd w:id="16"/>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8E2C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3867503">
            <w:pPr>
              <w:pStyle w:val="3"/>
              <w:ind w:firstLine="480"/>
            </w:pPr>
            <w:r>
              <w:rPr>
                <w:rFonts w:hint="eastAsia"/>
              </w:rPr>
              <w:t>年清洗消毒餐具300万套建设项目建设符合现行国家产业政策要求，选址地不占用生态红线，符合当地“三线一单”生态环境分区管控要求。通过严格落实报告表提出的各项污染防治措施和环境风险防控措施前提下，排放的污染物均能达标排放，其对周边区域环境影响较小。从环境保护的角度考虑，建设项目环境影响可行。</w:t>
            </w:r>
          </w:p>
          <w:p w14:paraId="30DAA942">
            <w:pPr>
              <w:ind w:firstLine="480"/>
            </w:pPr>
          </w:p>
          <w:p w14:paraId="56548925">
            <w:pPr>
              <w:ind w:firstLine="480"/>
            </w:pPr>
          </w:p>
          <w:p w14:paraId="1A0F508B">
            <w:pPr>
              <w:ind w:firstLine="480"/>
            </w:pPr>
          </w:p>
          <w:p w14:paraId="4853F623">
            <w:pPr>
              <w:ind w:firstLine="480"/>
            </w:pPr>
          </w:p>
          <w:p w14:paraId="3755898E">
            <w:pPr>
              <w:ind w:firstLine="480"/>
            </w:pPr>
          </w:p>
          <w:p w14:paraId="1CEEF9E1">
            <w:pPr>
              <w:ind w:firstLine="480"/>
            </w:pPr>
          </w:p>
          <w:p w14:paraId="5ED039C2">
            <w:pPr>
              <w:ind w:firstLine="480"/>
            </w:pPr>
          </w:p>
          <w:p w14:paraId="3857C398">
            <w:pPr>
              <w:ind w:firstLine="480"/>
            </w:pPr>
          </w:p>
          <w:p w14:paraId="137456F0">
            <w:pPr>
              <w:ind w:firstLine="480"/>
            </w:pPr>
          </w:p>
          <w:p w14:paraId="54A170F9">
            <w:pPr>
              <w:ind w:firstLine="480"/>
            </w:pPr>
          </w:p>
          <w:p w14:paraId="7B17F0B1">
            <w:pPr>
              <w:ind w:firstLine="480"/>
            </w:pPr>
          </w:p>
          <w:p w14:paraId="4507F6C6">
            <w:pPr>
              <w:ind w:firstLine="480"/>
            </w:pPr>
          </w:p>
          <w:p w14:paraId="433481A8">
            <w:pPr>
              <w:ind w:firstLine="480"/>
            </w:pPr>
          </w:p>
          <w:p w14:paraId="586B05EC">
            <w:pPr>
              <w:ind w:firstLine="480"/>
            </w:pPr>
          </w:p>
          <w:p w14:paraId="5C8ABD8E">
            <w:pPr>
              <w:ind w:firstLine="480"/>
            </w:pPr>
          </w:p>
          <w:p w14:paraId="761DF15E">
            <w:pPr>
              <w:ind w:firstLine="480"/>
            </w:pPr>
          </w:p>
          <w:p w14:paraId="5DFDEDCF">
            <w:pPr>
              <w:ind w:firstLine="480"/>
            </w:pPr>
          </w:p>
          <w:p w14:paraId="77DDDCCF">
            <w:pPr>
              <w:ind w:firstLine="480"/>
            </w:pPr>
          </w:p>
          <w:p w14:paraId="4A04D5ED">
            <w:pPr>
              <w:ind w:firstLine="480"/>
            </w:pPr>
          </w:p>
          <w:p w14:paraId="43647287">
            <w:pPr>
              <w:ind w:firstLine="480"/>
            </w:pPr>
          </w:p>
          <w:p w14:paraId="1D292BC4">
            <w:pPr>
              <w:ind w:firstLine="480"/>
            </w:pPr>
          </w:p>
          <w:p w14:paraId="4F83D0D7">
            <w:pPr>
              <w:ind w:firstLine="480"/>
            </w:pPr>
          </w:p>
          <w:p w14:paraId="71F4ADA4">
            <w:pPr>
              <w:ind w:firstLine="480"/>
            </w:pPr>
          </w:p>
        </w:tc>
      </w:tr>
    </w:tbl>
    <w:p w14:paraId="13012551">
      <w:pPr>
        <w:ind w:firstLine="0" w:firstLineChars="0"/>
        <w:sectPr>
          <w:footerReference r:id="rId11" w:type="default"/>
          <w:pgSz w:w="11906" w:h="16838"/>
          <w:pgMar w:top="1440" w:right="1800" w:bottom="1440" w:left="1800" w:header="851" w:footer="992" w:gutter="0"/>
          <w:pgNumType w:start="1"/>
          <w:cols w:space="425" w:num="1"/>
          <w:docGrid w:type="lines" w:linePitch="312" w:charSpace="0"/>
        </w:sectPr>
      </w:pPr>
    </w:p>
    <w:p w14:paraId="65D36366">
      <w:pPr>
        <w:pStyle w:val="2"/>
      </w:pPr>
      <w:r>
        <w:rPr>
          <w:rFonts w:hint="eastAsia"/>
        </w:rPr>
        <w:t>建设项目污染物排放量汇总表</w:t>
      </w:r>
      <w:bookmarkEnd w:id="17"/>
    </w:p>
    <w:tbl>
      <w:tblPr>
        <w:tblStyle w:val="1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0"/>
        <w:gridCol w:w="1808"/>
        <w:gridCol w:w="1476"/>
        <w:gridCol w:w="1229"/>
        <w:gridCol w:w="1638"/>
        <w:gridCol w:w="1502"/>
        <w:gridCol w:w="1697"/>
        <w:gridCol w:w="1888"/>
        <w:gridCol w:w="795"/>
      </w:tblGrid>
      <w:tr w14:paraId="6B216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470" w:type="pct"/>
            <w:tcBorders>
              <w:tl2br w:val="nil"/>
              <w:tr2bl w:val="nil"/>
            </w:tcBorders>
            <w:tcMar>
              <w:top w:w="0" w:type="dxa"/>
              <w:left w:w="28" w:type="dxa"/>
              <w:bottom w:w="0" w:type="dxa"/>
              <w:right w:w="28" w:type="dxa"/>
            </w:tcMar>
            <w:vAlign w:val="center"/>
          </w:tcPr>
          <w:p w14:paraId="0FEAE4D5">
            <w:pPr>
              <w:pStyle w:val="5"/>
            </w:pPr>
            <w:r>
              <mc:AlternateContent>
                <mc:Choice Requires="wps">
                  <w:drawing>
                    <wp:anchor distT="0" distB="0" distL="114300" distR="114300" simplePos="0" relativeHeight="251661312" behindDoc="0" locked="0" layoutInCell="1" allowOverlap="1">
                      <wp:simplePos x="0" y="0"/>
                      <wp:positionH relativeFrom="column">
                        <wp:posOffset>-8890</wp:posOffset>
                      </wp:positionH>
                      <wp:positionV relativeFrom="paragraph">
                        <wp:posOffset>16510</wp:posOffset>
                      </wp:positionV>
                      <wp:extent cx="779145" cy="578485"/>
                      <wp:effectExtent l="2540" t="3810" r="18415" b="8255"/>
                      <wp:wrapNone/>
                      <wp:docPr id="3" name="直接连接符 3"/>
                      <wp:cNvGraphicFramePr/>
                      <a:graphic xmlns:a="http://schemas.openxmlformats.org/drawingml/2006/main">
                        <a:graphicData uri="http://schemas.microsoft.com/office/word/2010/wordprocessingShape">
                          <wps:wsp>
                            <wps:cNvCnPr/>
                            <wps:spPr>
                              <a:xfrm>
                                <a:off x="1136015" y="1332230"/>
                                <a:ext cx="779145" cy="57848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0.7pt;margin-top:1.3pt;height:45.55pt;width:61.35pt;z-index:251661312;mso-width-relative:page;mso-height-relative:page;" filled="f" stroked="t" coordsize="21600,21600" o:gfxdata="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KTQX51QAAAAcBAAAPAAAAAAAAAAEAIAAAACIAAABkcnMvZG93bnJldi54bWxQSwECFAAU&#10;AAAACACHTuJAw9iVO/QBAADBAwAADgAAAAAAAAABACAAAAAkAQAAZHJzL2Uyb0RvYy54bWxQSwUG&#10;AAAAAAYABgBZAQAAigUAAAAA&#10;">
                      <v:fill on="f" focussize="0,0"/>
                      <v:stroke weight="0.5pt" color="#000000 [3213]" miterlimit="8" joinstyle="miter"/>
                      <v:imagedata o:title=""/>
                      <o:lock v:ext="edit" aspectratio="f"/>
                    </v:line>
                  </w:pict>
                </mc:Fallback>
              </mc:AlternateContent>
            </w:r>
            <w:r>
              <w:t>项目</w:t>
            </w:r>
          </w:p>
          <w:p w14:paraId="5D721433">
            <w:pPr>
              <w:pStyle w:val="5"/>
            </w:pPr>
          </w:p>
          <w:p w14:paraId="2C8D5FCE">
            <w:pPr>
              <w:pStyle w:val="5"/>
              <w:jc w:val="both"/>
            </w:pPr>
            <w:r>
              <w:t>分类</w:t>
            </w:r>
          </w:p>
        </w:tc>
        <w:tc>
          <w:tcPr>
            <w:tcW w:w="680" w:type="pct"/>
            <w:tcBorders>
              <w:tl2br w:val="nil"/>
              <w:tr2bl w:val="nil"/>
            </w:tcBorders>
            <w:tcMar>
              <w:top w:w="0" w:type="dxa"/>
              <w:left w:w="28" w:type="dxa"/>
              <w:bottom w:w="0" w:type="dxa"/>
              <w:right w:w="28" w:type="dxa"/>
            </w:tcMar>
            <w:vAlign w:val="center"/>
          </w:tcPr>
          <w:p w14:paraId="3E4CA691">
            <w:pPr>
              <w:pStyle w:val="5"/>
            </w:pPr>
            <w:r>
              <w:t>污染物名称</w:t>
            </w:r>
          </w:p>
        </w:tc>
        <w:tc>
          <w:tcPr>
            <w:tcW w:w="555" w:type="pct"/>
            <w:tcBorders>
              <w:tl2br w:val="nil"/>
              <w:tr2bl w:val="nil"/>
            </w:tcBorders>
            <w:tcMar>
              <w:top w:w="0" w:type="dxa"/>
              <w:left w:w="28" w:type="dxa"/>
              <w:bottom w:w="0" w:type="dxa"/>
              <w:right w:w="28" w:type="dxa"/>
            </w:tcMar>
            <w:vAlign w:val="center"/>
          </w:tcPr>
          <w:p w14:paraId="18E53947">
            <w:pPr>
              <w:pStyle w:val="5"/>
            </w:pPr>
            <w:r>
              <w:t>现有工程排放量（固体废物产生量）</w:t>
            </w:r>
            <w:r>
              <w:fldChar w:fldCharType="begin"/>
            </w:r>
            <w:r>
              <w:instrText xml:space="preserve"> = 1 \* GB3 \* MERGEFORMAT </w:instrText>
            </w:r>
            <w:r>
              <w:fldChar w:fldCharType="separate"/>
            </w:r>
            <w:r>
              <w:t>①</w:t>
            </w:r>
            <w:r>
              <w:fldChar w:fldCharType="end"/>
            </w:r>
          </w:p>
        </w:tc>
        <w:tc>
          <w:tcPr>
            <w:tcW w:w="462" w:type="pct"/>
            <w:tcBorders>
              <w:tl2br w:val="nil"/>
              <w:tr2bl w:val="nil"/>
            </w:tcBorders>
            <w:tcMar>
              <w:top w:w="0" w:type="dxa"/>
              <w:left w:w="28" w:type="dxa"/>
              <w:bottom w:w="0" w:type="dxa"/>
              <w:right w:w="28" w:type="dxa"/>
            </w:tcMar>
            <w:vAlign w:val="center"/>
          </w:tcPr>
          <w:p w14:paraId="59FE8D59">
            <w:pPr>
              <w:pStyle w:val="5"/>
            </w:pPr>
            <w:r>
              <w:t>现有工程</w:t>
            </w:r>
          </w:p>
          <w:p w14:paraId="42E2EFDD">
            <w:pPr>
              <w:pStyle w:val="5"/>
            </w:pPr>
            <w:r>
              <w:t>许可排放量</w:t>
            </w:r>
            <w:r>
              <w:fldChar w:fldCharType="begin"/>
            </w:r>
            <w:r>
              <w:instrText xml:space="preserve"> = 2 \* GB3 \* MERGEFORMAT </w:instrText>
            </w:r>
            <w:r>
              <w:fldChar w:fldCharType="separate"/>
            </w:r>
            <w:r>
              <w:t>②</w:t>
            </w:r>
            <w:r>
              <w:fldChar w:fldCharType="end"/>
            </w:r>
          </w:p>
        </w:tc>
        <w:tc>
          <w:tcPr>
            <w:tcW w:w="616" w:type="pct"/>
            <w:tcBorders>
              <w:tl2br w:val="nil"/>
              <w:tr2bl w:val="nil"/>
            </w:tcBorders>
            <w:tcMar>
              <w:top w:w="0" w:type="dxa"/>
              <w:left w:w="28" w:type="dxa"/>
              <w:bottom w:w="0" w:type="dxa"/>
              <w:right w:w="28" w:type="dxa"/>
            </w:tcMar>
            <w:vAlign w:val="center"/>
          </w:tcPr>
          <w:p w14:paraId="7AB3936D">
            <w:pPr>
              <w:pStyle w:val="5"/>
            </w:pPr>
            <w:r>
              <w:t>在建工程排放量（固体废物产生量）</w:t>
            </w:r>
            <w:r>
              <w:fldChar w:fldCharType="begin"/>
            </w:r>
            <w:r>
              <w:instrText xml:space="preserve"> = 3 \* GB3 \* MERGEFORMAT </w:instrText>
            </w:r>
            <w:r>
              <w:fldChar w:fldCharType="separate"/>
            </w:r>
            <w:r>
              <w:t>③</w:t>
            </w:r>
            <w:r>
              <w:fldChar w:fldCharType="end"/>
            </w:r>
          </w:p>
        </w:tc>
        <w:tc>
          <w:tcPr>
            <w:tcW w:w="565" w:type="pct"/>
            <w:tcBorders>
              <w:tl2br w:val="nil"/>
              <w:tr2bl w:val="nil"/>
            </w:tcBorders>
            <w:tcMar>
              <w:top w:w="0" w:type="dxa"/>
              <w:left w:w="28" w:type="dxa"/>
              <w:bottom w:w="0" w:type="dxa"/>
              <w:right w:w="28" w:type="dxa"/>
            </w:tcMar>
            <w:vAlign w:val="center"/>
          </w:tcPr>
          <w:p w14:paraId="764C6FC7">
            <w:pPr>
              <w:pStyle w:val="5"/>
            </w:pPr>
            <w:r>
              <w:t>本项目排放量（固体废物产生量）</w:t>
            </w:r>
            <w:r>
              <w:fldChar w:fldCharType="begin"/>
            </w:r>
            <w:r>
              <w:instrText xml:space="preserve"> = 4 \* GB3 \* MERGEFORMAT </w:instrText>
            </w:r>
            <w:r>
              <w:fldChar w:fldCharType="separate"/>
            </w:r>
            <w:r>
              <w:t>④</w:t>
            </w:r>
            <w:r>
              <w:fldChar w:fldCharType="end"/>
            </w:r>
          </w:p>
        </w:tc>
        <w:tc>
          <w:tcPr>
            <w:tcW w:w="638" w:type="pct"/>
            <w:tcBorders>
              <w:tl2br w:val="nil"/>
              <w:tr2bl w:val="nil"/>
            </w:tcBorders>
            <w:tcMar>
              <w:top w:w="0" w:type="dxa"/>
              <w:left w:w="28" w:type="dxa"/>
              <w:bottom w:w="0" w:type="dxa"/>
              <w:right w:w="28" w:type="dxa"/>
            </w:tcMar>
            <w:vAlign w:val="center"/>
          </w:tcPr>
          <w:p w14:paraId="045EF960">
            <w:pPr>
              <w:pStyle w:val="5"/>
            </w:pPr>
            <w:r>
              <w:t>以新带老削减量（新建项目不填）</w:t>
            </w:r>
            <w:r>
              <w:fldChar w:fldCharType="begin"/>
            </w:r>
            <w:r>
              <w:instrText xml:space="preserve"> = 5 \* GB3 \* MERGEFORMAT </w:instrText>
            </w:r>
            <w:r>
              <w:fldChar w:fldCharType="separate"/>
            </w:r>
            <w:r>
              <w:t>⑤</w:t>
            </w:r>
            <w:r>
              <w:fldChar w:fldCharType="end"/>
            </w:r>
          </w:p>
        </w:tc>
        <w:tc>
          <w:tcPr>
            <w:tcW w:w="710" w:type="pct"/>
            <w:tcBorders>
              <w:tl2br w:val="nil"/>
              <w:tr2bl w:val="nil"/>
            </w:tcBorders>
            <w:tcMar>
              <w:top w:w="0" w:type="dxa"/>
              <w:left w:w="28" w:type="dxa"/>
              <w:bottom w:w="0" w:type="dxa"/>
              <w:right w:w="28" w:type="dxa"/>
            </w:tcMar>
            <w:vAlign w:val="center"/>
          </w:tcPr>
          <w:p w14:paraId="712BDE9C">
            <w:pPr>
              <w:pStyle w:val="5"/>
            </w:pPr>
            <w:r>
              <w:t>本项目建成后</w:t>
            </w:r>
          </w:p>
          <w:p w14:paraId="226EC7C5">
            <w:pPr>
              <w:pStyle w:val="5"/>
            </w:pPr>
            <w:r>
              <w:t>全厂排放量（固体废物产生量）</w:t>
            </w:r>
            <w:r>
              <w:fldChar w:fldCharType="begin"/>
            </w:r>
            <w:r>
              <w:instrText xml:space="preserve"> = 6 \* GB3 \* MERGEFORMAT </w:instrText>
            </w:r>
            <w:r>
              <w:fldChar w:fldCharType="separate"/>
            </w:r>
            <w:r>
              <w:t>⑥</w:t>
            </w:r>
            <w:r>
              <w:fldChar w:fldCharType="end"/>
            </w:r>
          </w:p>
        </w:tc>
        <w:tc>
          <w:tcPr>
            <w:tcW w:w="299" w:type="pct"/>
            <w:tcBorders>
              <w:tl2br w:val="nil"/>
              <w:tr2bl w:val="nil"/>
            </w:tcBorders>
            <w:tcMar>
              <w:top w:w="0" w:type="dxa"/>
              <w:left w:w="28" w:type="dxa"/>
              <w:bottom w:w="0" w:type="dxa"/>
              <w:right w:w="28" w:type="dxa"/>
            </w:tcMar>
            <w:vAlign w:val="center"/>
          </w:tcPr>
          <w:p w14:paraId="2EA03BBA">
            <w:pPr>
              <w:pStyle w:val="5"/>
            </w:pPr>
            <w:r>
              <w:t>变化量</w:t>
            </w:r>
          </w:p>
          <w:p w14:paraId="173828D9">
            <w:pPr>
              <w:pStyle w:val="5"/>
            </w:pPr>
            <w:r>
              <w:fldChar w:fldCharType="begin"/>
            </w:r>
            <w:r>
              <w:instrText xml:space="preserve"> = 7 \* GB3 \* MERGEFORMAT </w:instrText>
            </w:r>
            <w:r>
              <w:fldChar w:fldCharType="separate"/>
            </w:r>
            <w:r>
              <w:t>⑦</w:t>
            </w:r>
            <w:r>
              <w:fldChar w:fldCharType="end"/>
            </w:r>
          </w:p>
        </w:tc>
      </w:tr>
      <w:tr w14:paraId="02E01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restart"/>
            <w:tcBorders>
              <w:tl2br w:val="nil"/>
              <w:tr2bl w:val="nil"/>
            </w:tcBorders>
            <w:vAlign w:val="center"/>
          </w:tcPr>
          <w:p w14:paraId="30BE5277">
            <w:pPr>
              <w:pStyle w:val="5"/>
            </w:pPr>
            <w:r>
              <w:t>废气</w:t>
            </w:r>
          </w:p>
        </w:tc>
        <w:tc>
          <w:tcPr>
            <w:tcW w:w="680" w:type="pct"/>
            <w:tcBorders>
              <w:tl2br w:val="nil"/>
              <w:tr2bl w:val="nil"/>
            </w:tcBorders>
            <w:vAlign w:val="center"/>
          </w:tcPr>
          <w:p w14:paraId="23CAF8BB">
            <w:pPr>
              <w:pStyle w:val="5"/>
            </w:pPr>
            <w:r>
              <w:rPr>
                <w:rFonts w:hint="eastAsia"/>
              </w:rPr>
              <w:t>颗粒物</w:t>
            </w:r>
          </w:p>
        </w:tc>
        <w:tc>
          <w:tcPr>
            <w:tcW w:w="555" w:type="pct"/>
            <w:tcBorders>
              <w:tl2br w:val="nil"/>
              <w:tr2bl w:val="nil"/>
            </w:tcBorders>
            <w:vAlign w:val="center"/>
          </w:tcPr>
          <w:p w14:paraId="62AFEEE2">
            <w:pPr>
              <w:pStyle w:val="5"/>
            </w:pPr>
            <w:r>
              <w:rPr>
                <w:rFonts w:hint="eastAsia"/>
              </w:rPr>
              <w:t>/</w:t>
            </w:r>
          </w:p>
        </w:tc>
        <w:tc>
          <w:tcPr>
            <w:tcW w:w="462" w:type="pct"/>
            <w:tcBorders>
              <w:tl2br w:val="nil"/>
              <w:tr2bl w:val="nil"/>
            </w:tcBorders>
            <w:vAlign w:val="center"/>
          </w:tcPr>
          <w:p w14:paraId="5BABBCF0">
            <w:pPr>
              <w:pStyle w:val="5"/>
            </w:pPr>
            <w:r>
              <w:rPr>
                <w:rFonts w:hint="eastAsia"/>
              </w:rPr>
              <w:t>/</w:t>
            </w:r>
          </w:p>
        </w:tc>
        <w:tc>
          <w:tcPr>
            <w:tcW w:w="616" w:type="pct"/>
            <w:tcBorders>
              <w:tl2br w:val="nil"/>
              <w:tr2bl w:val="nil"/>
            </w:tcBorders>
            <w:vAlign w:val="center"/>
          </w:tcPr>
          <w:p w14:paraId="35D72233">
            <w:pPr>
              <w:pStyle w:val="5"/>
            </w:pPr>
            <w:r>
              <w:rPr>
                <w:rFonts w:hint="eastAsia"/>
              </w:rPr>
              <w:t>/</w:t>
            </w:r>
          </w:p>
        </w:tc>
        <w:tc>
          <w:tcPr>
            <w:tcW w:w="1502" w:type="dxa"/>
            <w:tcBorders>
              <w:tl2br w:val="nil"/>
              <w:tr2bl w:val="nil"/>
            </w:tcBorders>
            <w:vAlign w:val="center"/>
          </w:tcPr>
          <w:p w14:paraId="654B813E">
            <w:pPr>
              <w:pStyle w:val="15"/>
              <w:rPr>
                <w:rFonts w:hint="eastAsia" w:eastAsia="宋体"/>
                <w:sz w:val="24"/>
                <w:lang w:eastAsia="zh-CN"/>
              </w:rPr>
            </w:pPr>
            <w:r>
              <w:rPr>
                <w:rFonts w:hint="eastAsia"/>
                <w:sz w:val="24"/>
              </w:rPr>
              <w:t>0.0</w:t>
            </w:r>
            <w:r>
              <w:rPr>
                <w:rFonts w:hint="eastAsia"/>
                <w:sz w:val="24"/>
                <w:lang w:val="en-US" w:eastAsia="zh-CN"/>
              </w:rPr>
              <w:t>2</w:t>
            </w:r>
          </w:p>
        </w:tc>
        <w:tc>
          <w:tcPr>
            <w:tcW w:w="638" w:type="pct"/>
            <w:tcBorders>
              <w:tl2br w:val="nil"/>
              <w:tr2bl w:val="nil"/>
            </w:tcBorders>
            <w:vAlign w:val="center"/>
          </w:tcPr>
          <w:p w14:paraId="1CABAC91">
            <w:pPr>
              <w:pStyle w:val="5"/>
            </w:pPr>
            <w:r>
              <w:rPr>
                <w:rFonts w:hint="eastAsia"/>
              </w:rPr>
              <w:t>/</w:t>
            </w:r>
          </w:p>
        </w:tc>
        <w:tc>
          <w:tcPr>
            <w:tcW w:w="1888" w:type="dxa"/>
            <w:tcBorders>
              <w:tl2br w:val="nil"/>
              <w:tr2bl w:val="nil"/>
            </w:tcBorders>
            <w:vAlign w:val="center"/>
          </w:tcPr>
          <w:p w14:paraId="0F1D46AB">
            <w:pPr>
              <w:pStyle w:val="15"/>
              <w:rPr>
                <w:rFonts w:hint="eastAsia" w:eastAsia="宋体"/>
                <w:sz w:val="24"/>
                <w:lang w:eastAsia="zh-CN"/>
              </w:rPr>
            </w:pPr>
            <w:r>
              <w:rPr>
                <w:rFonts w:hint="eastAsia"/>
                <w:sz w:val="24"/>
              </w:rPr>
              <w:t>0.0</w:t>
            </w:r>
            <w:r>
              <w:rPr>
                <w:rFonts w:hint="eastAsia"/>
                <w:sz w:val="24"/>
                <w:lang w:val="en-US" w:eastAsia="zh-CN"/>
              </w:rPr>
              <w:t>2</w:t>
            </w:r>
          </w:p>
        </w:tc>
        <w:tc>
          <w:tcPr>
            <w:tcW w:w="299" w:type="pct"/>
            <w:tcBorders>
              <w:tl2br w:val="nil"/>
              <w:tr2bl w:val="nil"/>
            </w:tcBorders>
            <w:vAlign w:val="center"/>
          </w:tcPr>
          <w:p w14:paraId="1E934D31">
            <w:pPr>
              <w:pStyle w:val="5"/>
            </w:pPr>
            <w:r>
              <w:rPr>
                <w:rFonts w:hint="eastAsia"/>
              </w:rPr>
              <w:t>/</w:t>
            </w:r>
          </w:p>
        </w:tc>
      </w:tr>
      <w:tr w14:paraId="08D05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continue"/>
            <w:tcBorders>
              <w:tl2br w:val="nil"/>
              <w:tr2bl w:val="nil"/>
            </w:tcBorders>
            <w:vAlign w:val="center"/>
          </w:tcPr>
          <w:p w14:paraId="3670594D">
            <w:pPr>
              <w:pStyle w:val="5"/>
            </w:pPr>
          </w:p>
        </w:tc>
        <w:tc>
          <w:tcPr>
            <w:tcW w:w="680" w:type="pct"/>
            <w:tcBorders>
              <w:tl2br w:val="nil"/>
              <w:tr2bl w:val="nil"/>
            </w:tcBorders>
            <w:vAlign w:val="center"/>
          </w:tcPr>
          <w:p w14:paraId="13161699">
            <w:pPr>
              <w:pStyle w:val="5"/>
            </w:pPr>
            <w:r>
              <w:rPr>
                <w:rFonts w:hint="eastAsia"/>
              </w:rPr>
              <w:t>二氧化硫</w:t>
            </w:r>
          </w:p>
        </w:tc>
        <w:tc>
          <w:tcPr>
            <w:tcW w:w="555" w:type="pct"/>
            <w:tcBorders>
              <w:tl2br w:val="nil"/>
              <w:tr2bl w:val="nil"/>
            </w:tcBorders>
            <w:vAlign w:val="center"/>
          </w:tcPr>
          <w:p w14:paraId="34965896">
            <w:pPr>
              <w:pStyle w:val="5"/>
            </w:pPr>
            <w:r>
              <w:rPr>
                <w:rFonts w:hint="eastAsia"/>
              </w:rPr>
              <w:t>/</w:t>
            </w:r>
          </w:p>
        </w:tc>
        <w:tc>
          <w:tcPr>
            <w:tcW w:w="462" w:type="pct"/>
            <w:tcBorders>
              <w:tl2br w:val="nil"/>
              <w:tr2bl w:val="nil"/>
            </w:tcBorders>
            <w:vAlign w:val="center"/>
          </w:tcPr>
          <w:p w14:paraId="4A1FCBD9">
            <w:pPr>
              <w:pStyle w:val="5"/>
            </w:pPr>
            <w:r>
              <w:rPr>
                <w:rFonts w:hint="eastAsia"/>
              </w:rPr>
              <w:t>/</w:t>
            </w:r>
          </w:p>
        </w:tc>
        <w:tc>
          <w:tcPr>
            <w:tcW w:w="616" w:type="pct"/>
            <w:tcBorders>
              <w:tl2br w:val="nil"/>
              <w:tr2bl w:val="nil"/>
            </w:tcBorders>
            <w:vAlign w:val="center"/>
          </w:tcPr>
          <w:p w14:paraId="750CC06A">
            <w:pPr>
              <w:pStyle w:val="5"/>
            </w:pPr>
            <w:r>
              <w:rPr>
                <w:rFonts w:hint="eastAsia"/>
              </w:rPr>
              <w:t>/</w:t>
            </w:r>
          </w:p>
        </w:tc>
        <w:tc>
          <w:tcPr>
            <w:tcW w:w="1502" w:type="dxa"/>
            <w:tcBorders>
              <w:tl2br w:val="nil"/>
              <w:tr2bl w:val="nil"/>
            </w:tcBorders>
            <w:vAlign w:val="center"/>
          </w:tcPr>
          <w:p w14:paraId="3120ED76">
            <w:pPr>
              <w:pStyle w:val="15"/>
              <w:rPr>
                <w:rFonts w:hint="default" w:eastAsia="宋体"/>
                <w:sz w:val="24"/>
                <w:lang w:val="en-US" w:eastAsia="zh-CN"/>
              </w:rPr>
            </w:pPr>
            <w:r>
              <w:rPr>
                <w:rFonts w:hint="eastAsia"/>
                <w:sz w:val="24"/>
              </w:rPr>
              <w:t>0.</w:t>
            </w:r>
            <w:r>
              <w:rPr>
                <w:rFonts w:hint="eastAsia"/>
                <w:sz w:val="24"/>
                <w:lang w:val="en-US" w:eastAsia="zh-CN"/>
              </w:rPr>
              <w:t>71</w:t>
            </w:r>
          </w:p>
        </w:tc>
        <w:tc>
          <w:tcPr>
            <w:tcW w:w="638" w:type="pct"/>
            <w:tcBorders>
              <w:tl2br w:val="nil"/>
              <w:tr2bl w:val="nil"/>
            </w:tcBorders>
            <w:vAlign w:val="center"/>
          </w:tcPr>
          <w:p w14:paraId="1EB4E707">
            <w:pPr>
              <w:pStyle w:val="5"/>
            </w:pPr>
            <w:r>
              <w:rPr>
                <w:rFonts w:hint="eastAsia"/>
              </w:rPr>
              <w:t>/</w:t>
            </w:r>
          </w:p>
        </w:tc>
        <w:tc>
          <w:tcPr>
            <w:tcW w:w="1888" w:type="dxa"/>
            <w:tcBorders>
              <w:tl2br w:val="nil"/>
              <w:tr2bl w:val="nil"/>
            </w:tcBorders>
            <w:vAlign w:val="center"/>
          </w:tcPr>
          <w:p w14:paraId="2D4A95F1">
            <w:pPr>
              <w:pStyle w:val="15"/>
              <w:ind w:firstLine="0" w:firstLineChars="0"/>
              <w:rPr>
                <w:rFonts w:hint="default"/>
                <w:sz w:val="24"/>
                <w:lang w:val="en-US"/>
              </w:rPr>
            </w:pPr>
            <w:r>
              <w:rPr>
                <w:rFonts w:hint="eastAsia"/>
                <w:sz w:val="24"/>
              </w:rPr>
              <w:t>0.</w:t>
            </w:r>
            <w:r>
              <w:rPr>
                <w:rFonts w:hint="eastAsia"/>
                <w:sz w:val="24"/>
                <w:lang w:val="en-US" w:eastAsia="zh-CN"/>
              </w:rPr>
              <w:t>71</w:t>
            </w:r>
          </w:p>
        </w:tc>
        <w:tc>
          <w:tcPr>
            <w:tcW w:w="299" w:type="pct"/>
            <w:tcBorders>
              <w:tl2br w:val="nil"/>
              <w:tr2bl w:val="nil"/>
            </w:tcBorders>
            <w:vAlign w:val="center"/>
          </w:tcPr>
          <w:p w14:paraId="5A3DE495">
            <w:pPr>
              <w:pStyle w:val="5"/>
            </w:pPr>
            <w:r>
              <w:rPr>
                <w:rFonts w:hint="eastAsia"/>
              </w:rPr>
              <w:t>/</w:t>
            </w:r>
          </w:p>
        </w:tc>
      </w:tr>
      <w:tr w14:paraId="6FA48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continue"/>
            <w:tcBorders>
              <w:tl2br w:val="nil"/>
              <w:tr2bl w:val="nil"/>
            </w:tcBorders>
            <w:vAlign w:val="center"/>
          </w:tcPr>
          <w:p w14:paraId="1C10987E">
            <w:pPr>
              <w:pStyle w:val="5"/>
            </w:pPr>
          </w:p>
        </w:tc>
        <w:tc>
          <w:tcPr>
            <w:tcW w:w="680" w:type="pct"/>
            <w:tcBorders>
              <w:tl2br w:val="nil"/>
              <w:tr2bl w:val="nil"/>
            </w:tcBorders>
            <w:vAlign w:val="center"/>
          </w:tcPr>
          <w:p w14:paraId="0F19713D">
            <w:pPr>
              <w:pStyle w:val="5"/>
            </w:pPr>
            <w:r>
              <w:rPr>
                <w:rFonts w:hint="eastAsia"/>
              </w:rPr>
              <w:t>氮氧化物</w:t>
            </w:r>
          </w:p>
        </w:tc>
        <w:tc>
          <w:tcPr>
            <w:tcW w:w="555" w:type="pct"/>
            <w:tcBorders>
              <w:tl2br w:val="nil"/>
              <w:tr2bl w:val="nil"/>
            </w:tcBorders>
            <w:vAlign w:val="center"/>
          </w:tcPr>
          <w:p w14:paraId="79FB706A">
            <w:pPr>
              <w:pStyle w:val="5"/>
            </w:pPr>
            <w:r>
              <w:rPr>
                <w:rFonts w:hint="eastAsia"/>
              </w:rPr>
              <w:t>/</w:t>
            </w:r>
          </w:p>
        </w:tc>
        <w:tc>
          <w:tcPr>
            <w:tcW w:w="462" w:type="pct"/>
            <w:tcBorders>
              <w:tl2br w:val="nil"/>
              <w:tr2bl w:val="nil"/>
            </w:tcBorders>
            <w:vAlign w:val="center"/>
          </w:tcPr>
          <w:p w14:paraId="6585EE87">
            <w:pPr>
              <w:pStyle w:val="5"/>
            </w:pPr>
            <w:r>
              <w:rPr>
                <w:rFonts w:hint="eastAsia"/>
              </w:rPr>
              <w:t>/</w:t>
            </w:r>
          </w:p>
        </w:tc>
        <w:tc>
          <w:tcPr>
            <w:tcW w:w="616" w:type="pct"/>
            <w:tcBorders>
              <w:tl2br w:val="nil"/>
              <w:tr2bl w:val="nil"/>
            </w:tcBorders>
            <w:vAlign w:val="center"/>
          </w:tcPr>
          <w:p w14:paraId="5534BABC">
            <w:pPr>
              <w:pStyle w:val="5"/>
            </w:pPr>
            <w:r>
              <w:rPr>
                <w:rFonts w:hint="eastAsia"/>
              </w:rPr>
              <w:t>/</w:t>
            </w:r>
          </w:p>
        </w:tc>
        <w:tc>
          <w:tcPr>
            <w:tcW w:w="1502" w:type="dxa"/>
            <w:tcBorders>
              <w:tl2br w:val="nil"/>
              <w:tr2bl w:val="nil"/>
            </w:tcBorders>
            <w:vAlign w:val="center"/>
          </w:tcPr>
          <w:p w14:paraId="552709F6">
            <w:pPr>
              <w:pStyle w:val="15"/>
              <w:rPr>
                <w:rFonts w:hint="default" w:eastAsia="宋体"/>
                <w:sz w:val="24"/>
                <w:lang w:val="en-US" w:eastAsia="zh-CN"/>
              </w:rPr>
            </w:pPr>
            <w:r>
              <w:rPr>
                <w:rFonts w:hint="eastAsia"/>
                <w:sz w:val="24"/>
                <w:lang w:val="en-US" w:eastAsia="zh-CN"/>
              </w:rPr>
              <w:t>2.12</w:t>
            </w:r>
          </w:p>
        </w:tc>
        <w:tc>
          <w:tcPr>
            <w:tcW w:w="638" w:type="pct"/>
            <w:tcBorders>
              <w:tl2br w:val="nil"/>
              <w:tr2bl w:val="nil"/>
            </w:tcBorders>
            <w:vAlign w:val="center"/>
          </w:tcPr>
          <w:p w14:paraId="2ED72C0B">
            <w:pPr>
              <w:pStyle w:val="5"/>
            </w:pPr>
            <w:r>
              <w:rPr>
                <w:rFonts w:hint="eastAsia"/>
              </w:rPr>
              <w:t>/</w:t>
            </w:r>
          </w:p>
        </w:tc>
        <w:tc>
          <w:tcPr>
            <w:tcW w:w="1888" w:type="dxa"/>
            <w:tcBorders>
              <w:tl2br w:val="nil"/>
              <w:tr2bl w:val="nil"/>
            </w:tcBorders>
            <w:vAlign w:val="center"/>
          </w:tcPr>
          <w:p w14:paraId="7118361C">
            <w:pPr>
              <w:pStyle w:val="15"/>
              <w:ind w:firstLine="0" w:firstLineChars="0"/>
              <w:rPr>
                <w:rFonts w:hint="default"/>
                <w:sz w:val="24"/>
                <w:lang w:val="en-US"/>
              </w:rPr>
            </w:pPr>
            <w:r>
              <w:rPr>
                <w:rFonts w:hint="eastAsia"/>
                <w:sz w:val="24"/>
                <w:lang w:val="en-US" w:eastAsia="zh-CN"/>
              </w:rPr>
              <w:t>2.12</w:t>
            </w:r>
          </w:p>
        </w:tc>
        <w:tc>
          <w:tcPr>
            <w:tcW w:w="299" w:type="pct"/>
            <w:tcBorders>
              <w:tl2br w:val="nil"/>
              <w:tr2bl w:val="nil"/>
            </w:tcBorders>
            <w:vAlign w:val="center"/>
          </w:tcPr>
          <w:p w14:paraId="222E917C">
            <w:pPr>
              <w:pStyle w:val="5"/>
            </w:pPr>
            <w:r>
              <w:rPr>
                <w:rFonts w:hint="eastAsia"/>
              </w:rPr>
              <w:t>/</w:t>
            </w:r>
          </w:p>
        </w:tc>
      </w:tr>
      <w:tr w14:paraId="1E1AE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tcBorders>
              <w:tl2br w:val="nil"/>
              <w:tr2bl w:val="nil"/>
            </w:tcBorders>
            <w:vAlign w:val="center"/>
          </w:tcPr>
          <w:p w14:paraId="69F00814">
            <w:pPr>
              <w:pStyle w:val="5"/>
            </w:pPr>
            <w:r>
              <w:t>废水</w:t>
            </w:r>
          </w:p>
        </w:tc>
        <w:tc>
          <w:tcPr>
            <w:tcW w:w="680" w:type="pct"/>
            <w:tcBorders>
              <w:tl2br w:val="nil"/>
              <w:tr2bl w:val="nil"/>
            </w:tcBorders>
            <w:vAlign w:val="center"/>
          </w:tcPr>
          <w:p w14:paraId="056102A4">
            <w:pPr>
              <w:pStyle w:val="5"/>
            </w:pPr>
            <w:r>
              <w:t>/</w:t>
            </w:r>
          </w:p>
        </w:tc>
        <w:tc>
          <w:tcPr>
            <w:tcW w:w="555" w:type="pct"/>
            <w:tcBorders>
              <w:tl2br w:val="nil"/>
              <w:tr2bl w:val="nil"/>
            </w:tcBorders>
            <w:vAlign w:val="center"/>
          </w:tcPr>
          <w:p w14:paraId="67C40A62">
            <w:pPr>
              <w:pStyle w:val="5"/>
            </w:pPr>
            <w:r>
              <w:rPr>
                <w:rFonts w:hint="eastAsia"/>
              </w:rPr>
              <w:t>/</w:t>
            </w:r>
          </w:p>
        </w:tc>
        <w:tc>
          <w:tcPr>
            <w:tcW w:w="462" w:type="pct"/>
            <w:tcBorders>
              <w:tl2br w:val="nil"/>
              <w:tr2bl w:val="nil"/>
            </w:tcBorders>
            <w:vAlign w:val="center"/>
          </w:tcPr>
          <w:p w14:paraId="16F939E7">
            <w:pPr>
              <w:pStyle w:val="5"/>
            </w:pPr>
            <w:r>
              <w:rPr>
                <w:rFonts w:hint="eastAsia"/>
              </w:rPr>
              <w:t>/</w:t>
            </w:r>
          </w:p>
        </w:tc>
        <w:tc>
          <w:tcPr>
            <w:tcW w:w="616" w:type="pct"/>
            <w:tcBorders>
              <w:tl2br w:val="nil"/>
              <w:tr2bl w:val="nil"/>
            </w:tcBorders>
            <w:vAlign w:val="center"/>
          </w:tcPr>
          <w:p w14:paraId="3A060C28">
            <w:pPr>
              <w:pStyle w:val="5"/>
            </w:pPr>
            <w:r>
              <w:rPr>
                <w:rFonts w:hint="eastAsia"/>
              </w:rPr>
              <w:t>/</w:t>
            </w:r>
          </w:p>
        </w:tc>
        <w:tc>
          <w:tcPr>
            <w:tcW w:w="565" w:type="pct"/>
            <w:tcBorders>
              <w:tl2br w:val="nil"/>
              <w:tr2bl w:val="nil"/>
            </w:tcBorders>
            <w:vAlign w:val="center"/>
          </w:tcPr>
          <w:p w14:paraId="703FC2FF">
            <w:pPr>
              <w:pStyle w:val="5"/>
            </w:pPr>
            <w:r>
              <w:t>/</w:t>
            </w:r>
          </w:p>
        </w:tc>
        <w:tc>
          <w:tcPr>
            <w:tcW w:w="638" w:type="pct"/>
            <w:tcBorders>
              <w:tl2br w:val="nil"/>
              <w:tr2bl w:val="nil"/>
            </w:tcBorders>
            <w:vAlign w:val="center"/>
          </w:tcPr>
          <w:p w14:paraId="310AA3AA">
            <w:pPr>
              <w:pStyle w:val="5"/>
            </w:pPr>
            <w:r>
              <w:rPr>
                <w:rFonts w:hint="eastAsia"/>
              </w:rPr>
              <w:t>/</w:t>
            </w:r>
          </w:p>
        </w:tc>
        <w:tc>
          <w:tcPr>
            <w:tcW w:w="710" w:type="pct"/>
            <w:tcBorders>
              <w:tl2br w:val="nil"/>
              <w:tr2bl w:val="nil"/>
            </w:tcBorders>
            <w:vAlign w:val="center"/>
          </w:tcPr>
          <w:p w14:paraId="72D43E2A">
            <w:pPr>
              <w:pStyle w:val="5"/>
            </w:pPr>
            <w:r>
              <w:t>/</w:t>
            </w:r>
          </w:p>
        </w:tc>
        <w:tc>
          <w:tcPr>
            <w:tcW w:w="299" w:type="pct"/>
            <w:tcBorders>
              <w:tl2br w:val="nil"/>
              <w:tr2bl w:val="nil"/>
            </w:tcBorders>
            <w:vAlign w:val="center"/>
          </w:tcPr>
          <w:p w14:paraId="74F380F1">
            <w:pPr>
              <w:pStyle w:val="5"/>
            </w:pPr>
            <w:r>
              <w:rPr>
                <w:rFonts w:hint="eastAsia"/>
              </w:rPr>
              <w:t>/</w:t>
            </w:r>
          </w:p>
        </w:tc>
      </w:tr>
      <w:tr w14:paraId="694D1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restart"/>
            <w:tcBorders>
              <w:tl2br w:val="nil"/>
              <w:tr2bl w:val="nil"/>
            </w:tcBorders>
            <w:vAlign w:val="center"/>
          </w:tcPr>
          <w:p w14:paraId="3E70AE49">
            <w:pPr>
              <w:pStyle w:val="5"/>
            </w:pPr>
            <w:r>
              <w:t>一般工业</w:t>
            </w:r>
          </w:p>
          <w:p w14:paraId="6BC2484A">
            <w:pPr>
              <w:pStyle w:val="5"/>
            </w:pPr>
            <w:r>
              <w:t>固体废物</w:t>
            </w:r>
          </w:p>
        </w:tc>
        <w:tc>
          <w:tcPr>
            <w:tcW w:w="1808" w:type="dxa"/>
            <w:tcBorders>
              <w:tl2br w:val="nil"/>
              <w:tr2bl w:val="nil"/>
            </w:tcBorders>
            <w:vAlign w:val="center"/>
          </w:tcPr>
          <w:p w14:paraId="7340D0AD">
            <w:pPr>
              <w:pStyle w:val="15"/>
              <w:rPr>
                <w:sz w:val="24"/>
              </w:rPr>
            </w:pPr>
            <w:r>
              <w:rPr>
                <w:rFonts w:hint="eastAsia"/>
                <w:sz w:val="24"/>
              </w:rPr>
              <w:t>食物残渣</w:t>
            </w:r>
          </w:p>
        </w:tc>
        <w:tc>
          <w:tcPr>
            <w:tcW w:w="555" w:type="pct"/>
            <w:tcBorders>
              <w:tl2br w:val="nil"/>
              <w:tr2bl w:val="nil"/>
            </w:tcBorders>
            <w:vAlign w:val="center"/>
          </w:tcPr>
          <w:p w14:paraId="49A37015">
            <w:pPr>
              <w:pStyle w:val="5"/>
            </w:pPr>
            <w:r>
              <w:rPr>
                <w:rFonts w:hint="eastAsia"/>
              </w:rPr>
              <w:t>/</w:t>
            </w:r>
          </w:p>
        </w:tc>
        <w:tc>
          <w:tcPr>
            <w:tcW w:w="462" w:type="pct"/>
            <w:tcBorders>
              <w:tl2br w:val="nil"/>
              <w:tr2bl w:val="nil"/>
            </w:tcBorders>
            <w:vAlign w:val="center"/>
          </w:tcPr>
          <w:p w14:paraId="7480B6E8">
            <w:pPr>
              <w:pStyle w:val="5"/>
            </w:pPr>
            <w:r>
              <w:rPr>
                <w:rFonts w:hint="eastAsia"/>
              </w:rPr>
              <w:t>/</w:t>
            </w:r>
          </w:p>
        </w:tc>
        <w:tc>
          <w:tcPr>
            <w:tcW w:w="616" w:type="pct"/>
            <w:tcBorders>
              <w:tl2br w:val="nil"/>
              <w:tr2bl w:val="nil"/>
            </w:tcBorders>
            <w:vAlign w:val="center"/>
          </w:tcPr>
          <w:p w14:paraId="52CD59B3">
            <w:pPr>
              <w:pStyle w:val="5"/>
            </w:pPr>
            <w:r>
              <w:rPr>
                <w:rFonts w:hint="eastAsia"/>
              </w:rPr>
              <w:t>/</w:t>
            </w:r>
          </w:p>
        </w:tc>
        <w:tc>
          <w:tcPr>
            <w:tcW w:w="1502" w:type="dxa"/>
            <w:tcBorders>
              <w:tl2br w:val="nil"/>
              <w:tr2bl w:val="nil"/>
            </w:tcBorders>
            <w:vAlign w:val="center"/>
          </w:tcPr>
          <w:p w14:paraId="207231F6">
            <w:pPr>
              <w:pStyle w:val="15"/>
              <w:rPr>
                <w:sz w:val="24"/>
              </w:rPr>
            </w:pPr>
            <w:r>
              <w:rPr>
                <w:rFonts w:hint="eastAsia"/>
                <w:sz w:val="24"/>
              </w:rPr>
              <w:t>15</w:t>
            </w:r>
          </w:p>
        </w:tc>
        <w:tc>
          <w:tcPr>
            <w:tcW w:w="638" w:type="pct"/>
            <w:tcBorders>
              <w:tl2br w:val="nil"/>
              <w:tr2bl w:val="nil"/>
            </w:tcBorders>
            <w:vAlign w:val="center"/>
          </w:tcPr>
          <w:p w14:paraId="5AEA7C5E">
            <w:pPr>
              <w:pStyle w:val="5"/>
            </w:pPr>
            <w:r>
              <w:rPr>
                <w:rFonts w:hint="eastAsia"/>
              </w:rPr>
              <w:t>/</w:t>
            </w:r>
          </w:p>
        </w:tc>
        <w:tc>
          <w:tcPr>
            <w:tcW w:w="1888" w:type="dxa"/>
            <w:tcBorders>
              <w:tl2br w:val="nil"/>
              <w:tr2bl w:val="nil"/>
            </w:tcBorders>
            <w:vAlign w:val="center"/>
          </w:tcPr>
          <w:p w14:paraId="6B51D54C">
            <w:pPr>
              <w:pStyle w:val="15"/>
            </w:pPr>
            <w:r>
              <w:rPr>
                <w:rFonts w:hint="eastAsia"/>
                <w:sz w:val="24"/>
              </w:rPr>
              <w:t>15</w:t>
            </w:r>
          </w:p>
        </w:tc>
        <w:tc>
          <w:tcPr>
            <w:tcW w:w="299" w:type="pct"/>
            <w:tcBorders>
              <w:tl2br w:val="nil"/>
              <w:tr2bl w:val="nil"/>
            </w:tcBorders>
            <w:vAlign w:val="center"/>
          </w:tcPr>
          <w:p w14:paraId="28B84C0B">
            <w:pPr>
              <w:pStyle w:val="5"/>
            </w:pPr>
            <w:r>
              <w:rPr>
                <w:rFonts w:hint="eastAsia"/>
              </w:rPr>
              <w:t>/</w:t>
            </w:r>
          </w:p>
        </w:tc>
      </w:tr>
      <w:tr w14:paraId="6FA3C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continue"/>
            <w:tcBorders>
              <w:tl2br w:val="nil"/>
              <w:tr2bl w:val="nil"/>
            </w:tcBorders>
            <w:vAlign w:val="center"/>
          </w:tcPr>
          <w:p w14:paraId="74C60D90">
            <w:pPr>
              <w:pStyle w:val="5"/>
            </w:pPr>
          </w:p>
        </w:tc>
        <w:tc>
          <w:tcPr>
            <w:tcW w:w="1808" w:type="dxa"/>
            <w:tcBorders>
              <w:tl2br w:val="nil"/>
              <w:tr2bl w:val="nil"/>
            </w:tcBorders>
            <w:vAlign w:val="center"/>
          </w:tcPr>
          <w:p w14:paraId="1866B500">
            <w:pPr>
              <w:pStyle w:val="15"/>
              <w:rPr>
                <w:sz w:val="24"/>
              </w:rPr>
            </w:pPr>
            <w:r>
              <w:rPr>
                <w:rFonts w:hint="eastAsia"/>
                <w:sz w:val="24"/>
              </w:rPr>
              <w:t>废油脂</w:t>
            </w:r>
          </w:p>
        </w:tc>
        <w:tc>
          <w:tcPr>
            <w:tcW w:w="555" w:type="pct"/>
            <w:tcBorders>
              <w:tl2br w:val="nil"/>
              <w:tr2bl w:val="nil"/>
            </w:tcBorders>
            <w:vAlign w:val="center"/>
          </w:tcPr>
          <w:p w14:paraId="5F2D036A">
            <w:pPr>
              <w:pStyle w:val="5"/>
            </w:pPr>
            <w:r>
              <w:rPr>
                <w:rFonts w:hint="eastAsia"/>
              </w:rPr>
              <w:t>/</w:t>
            </w:r>
          </w:p>
        </w:tc>
        <w:tc>
          <w:tcPr>
            <w:tcW w:w="462" w:type="pct"/>
            <w:tcBorders>
              <w:tl2br w:val="nil"/>
              <w:tr2bl w:val="nil"/>
            </w:tcBorders>
            <w:vAlign w:val="center"/>
          </w:tcPr>
          <w:p w14:paraId="6AAB1FF2">
            <w:pPr>
              <w:pStyle w:val="5"/>
            </w:pPr>
            <w:r>
              <w:rPr>
                <w:rFonts w:hint="eastAsia"/>
              </w:rPr>
              <w:t>/</w:t>
            </w:r>
          </w:p>
        </w:tc>
        <w:tc>
          <w:tcPr>
            <w:tcW w:w="616" w:type="pct"/>
            <w:tcBorders>
              <w:tl2br w:val="nil"/>
              <w:tr2bl w:val="nil"/>
            </w:tcBorders>
            <w:vAlign w:val="center"/>
          </w:tcPr>
          <w:p w14:paraId="0B449A7D">
            <w:pPr>
              <w:pStyle w:val="5"/>
            </w:pPr>
            <w:r>
              <w:rPr>
                <w:rFonts w:hint="eastAsia"/>
              </w:rPr>
              <w:t>/</w:t>
            </w:r>
          </w:p>
        </w:tc>
        <w:tc>
          <w:tcPr>
            <w:tcW w:w="1502" w:type="dxa"/>
            <w:tcBorders>
              <w:tl2br w:val="nil"/>
              <w:tr2bl w:val="nil"/>
            </w:tcBorders>
            <w:vAlign w:val="center"/>
          </w:tcPr>
          <w:p w14:paraId="7702BA44">
            <w:pPr>
              <w:pStyle w:val="15"/>
              <w:rPr>
                <w:sz w:val="24"/>
              </w:rPr>
            </w:pPr>
            <w:r>
              <w:rPr>
                <w:rFonts w:hint="eastAsia"/>
                <w:sz w:val="24"/>
              </w:rPr>
              <w:t>3</w:t>
            </w:r>
          </w:p>
        </w:tc>
        <w:tc>
          <w:tcPr>
            <w:tcW w:w="638" w:type="pct"/>
            <w:tcBorders>
              <w:tl2br w:val="nil"/>
              <w:tr2bl w:val="nil"/>
            </w:tcBorders>
            <w:vAlign w:val="center"/>
          </w:tcPr>
          <w:p w14:paraId="08B0774F">
            <w:pPr>
              <w:pStyle w:val="5"/>
            </w:pPr>
            <w:r>
              <w:rPr>
                <w:rFonts w:hint="eastAsia"/>
              </w:rPr>
              <w:t>/</w:t>
            </w:r>
          </w:p>
        </w:tc>
        <w:tc>
          <w:tcPr>
            <w:tcW w:w="1888" w:type="dxa"/>
            <w:tcBorders>
              <w:tl2br w:val="nil"/>
              <w:tr2bl w:val="nil"/>
            </w:tcBorders>
            <w:vAlign w:val="center"/>
          </w:tcPr>
          <w:p w14:paraId="5834B1D5">
            <w:pPr>
              <w:pStyle w:val="15"/>
            </w:pPr>
            <w:r>
              <w:rPr>
                <w:rFonts w:hint="eastAsia"/>
                <w:sz w:val="24"/>
              </w:rPr>
              <w:t>3</w:t>
            </w:r>
          </w:p>
        </w:tc>
        <w:tc>
          <w:tcPr>
            <w:tcW w:w="299" w:type="pct"/>
            <w:tcBorders>
              <w:tl2br w:val="nil"/>
              <w:tr2bl w:val="nil"/>
            </w:tcBorders>
            <w:vAlign w:val="center"/>
          </w:tcPr>
          <w:p w14:paraId="600A2C45">
            <w:pPr>
              <w:pStyle w:val="5"/>
            </w:pPr>
            <w:r>
              <w:rPr>
                <w:rFonts w:hint="eastAsia"/>
              </w:rPr>
              <w:t>/</w:t>
            </w:r>
          </w:p>
        </w:tc>
      </w:tr>
      <w:tr w14:paraId="0E609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continue"/>
            <w:tcBorders>
              <w:tl2br w:val="nil"/>
              <w:tr2bl w:val="nil"/>
            </w:tcBorders>
            <w:vAlign w:val="center"/>
          </w:tcPr>
          <w:p w14:paraId="06F88741">
            <w:pPr>
              <w:pStyle w:val="5"/>
            </w:pPr>
          </w:p>
        </w:tc>
        <w:tc>
          <w:tcPr>
            <w:tcW w:w="1808" w:type="dxa"/>
            <w:tcBorders>
              <w:tl2br w:val="nil"/>
              <w:tr2bl w:val="nil"/>
            </w:tcBorders>
            <w:vAlign w:val="center"/>
          </w:tcPr>
          <w:p w14:paraId="6AFE486C">
            <w:pPr>
              <w:pStyle w:val="15"/>
              <w:rPr>
                <w:sz w:val="24"/>
              </w:rPr>
            </w:pPr>
            <w:r>
              <w:rPr>
                <w:sz w:val="24"/>
              </w:rPr>
              <w:t>沉渣</w:t>
            </w:r>
          </w:p>
        </w:tc>
        <w:tc>
          <w:tcPr>
            <w:tcW w:w="555" w:type="pct"/>
            <w:tcBorders>
              <w:tl2br w:val="nil"/>
              <w:tr2bl w:val="nil"/>
            </w:tcBorders>
            <w:vAlign w:val="center"/>
          </w:tcPr>
          <w:p w14:paraId="4F0ABEC6">
            <w:pPr>
              <w:pStyle w:val="5"/>
            </w:pPr>
            <w:r>
              <w:rPr>
                <w:rFonts w:hint="eastAsia"/>
              </w:rPr>
              <w:t>/</w:t>
            </w:r>
          </w:p>
        </w:tc>
        <w:tc>
          <w:tcPr>
            <w:tcW w:w="462" w:type="pct"/>
            <w:tcBorders>
              <w:tl2br w:val="nil"/>
              <w:tr2bl w:val="nil"/>
            </w:tcBorders>
            <w:vAlign w:val="center"/>
          </w:tcPr>
          <w:p w14:paraId="57F893D6">
            <w:pPr>
              <w:pStyle w:val="5"/>
            </w:pPr>
            <w:r>
              <w:rPr>
                <w:rFonts w:hint="eastAsia"/>
              </w:rPr>
              <w:t>/</w:t>
            </w:r>
          </w:p>
        </w:tc>
        <w:tc>
          <w:tcPr>
            <w:tcW w:w="616" w:type="pct"/>
            <w:tcBorders>
              <w:tl2br w:val="nil"/>
              <w:tr2bl w:val="nil"/>
            </w:tcBorders>
            <w:vAlign w:val="center"/>
          </w:tcPr>
          <w:p w14:paraId="6F127DD6">
            <w:pPr>
              <w:pStyle w:val="5"/>
            </w:pPr>
            <w:r>
              <w:rPr>
                <w:rFonts w:hint="eastAsia"/>
              </w:rPr>
              <w:t>/</w:t>
            </w:r>
          </w:p>
        </w:tc>
        <w:tc>
          <w:tcPr>
            <w:tcW w:w="1502" w:type="dxa"/>
            <w:tcBorders>
              <w:tl2br w:val="nil"/>
              <w:tr2bl w:val="nil"/>
            </w:tcBorders>
            <w:vAlign w:val="center"/>
          </w:tcPr>
          <w:p w14:paraId="6AC55D5A">
            <w:pPr>
              <w:pStyle w:val="15"/>
              <w:rPr>
                <w:sz w:val="24"/>
              </w:rPr>
            </w:pPr>
            <w:r>
              <w:rPr>
                <w:rFonts w:hint="eastAsia"/>
                <w:sz w:val="24"/>
              </w:rPr>
              <w:t>1</w:t>
            </w:r>
          </w:p>
        </w:tc>
        <w:tc>
          <w:tcPr>
            <w:tcW w:w="638" w:type="pct"/>
            <w:tcBorders>
              <w:tl2br w:val="nil"/>
              <w:tr2bl w:val="nil"/>
            </w:tcBorders>
            <w:vAlign w:val="center"/>
          </w:tcPr>
          <w:p w14:paraId="26D982D2">
            <w:pPr>
              <w:pStyle w:val="5"/>
            </w:pPr>
            <w:r>
              <w:rPr>
                <w:rFonts w:hint="eastAsia"/>
              </w:rPr>
              <w:t>/</w:t>
            </w:r>
          </w:p>
        </w:tc>
        <w:tc>
          <w:tcPr>
            <w:tcW w:w="1888" w:type="dxa"/>
            <w:tcBorders>
              <w:tl2br w:val="nil"/>
              <w:tr2bl w:val="nil"/>
            </w:tcBorders>
            <w:vAlign w:val="center"/>
          </w:tcPr>
          <w:p w14:paraId="125CA5E3">
            <w:pPr>
              <w:pStyle w:val="15"/>
            </w:pPr>
            <w:r>
              <w:rPr>
                <w:rFonts w:hint="eastAsia"/>
                <w:sz w:val="24"/>
              </w:rPr>
              <w:t>1</w:t>
            </w:r>
          </w:p>
        </w:tc>
        <w:tc>
          <w:tcPr>
            <w:tcW w:w="299" w:type="pct"/>
            <w:tcBorders>
              <w:tl2br w:val="nil"/>
              <w:tr2bl w:val="nil"/>
            </w:tcBorders>
            <w:vAlign w:val="center"/>
          </w:tcPr>
          <w:p w14:paraId="50E3BA1A">
            <w:pPr>
              <w:pStyle w:val="5"/>
            </w:pPr>
            <w:r>
              <w:rPr>
                <w:rFonts w:hint="eastAsia"/>
              </w:rPr>
              <w:t>/</w:t>
            </w:r>
          </w:p>
        </w:tc>
      </w:tr>
      <w:tr w14:paraId="0A69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continue"/>
            <w:tcBorders>
              <w:tl2br w:val="nil"/>
              <w:tr2bl w:val="nil"/>
            </w:tcBorders>
            <w:vAlign w:val="center"/>
          </w:tcPr>
          <w:p w14:paraId="18137DED">
            <w:pPr>
              <w:pStyle w:val="5"/>
            </w:pPr>
          </w:p>
        </w:tc>
        <w:tc>
          <w:tcPr>
            <w:tcW w:w="1808" w:type="dxa"/>
            <w:tcBorders>
              <w:tl2br w:val="nil"/>
              <w:tr2bl w:val="nil"/>
            </w:tcBorders>
            <w:vAlign w:val="center"/>
          </w:tcPr>
          <w:p w14:paraId="5A53364B">
            <w:pPr>
              <w:pStyle w:val="15"/>
              <w:rPr>
                <w:sz w:val="24"/>
              </w:rPr>
            </w:pPr>
            <w:r>
              <w:rPr>
                <w:rFonts w:hint="eastAsia"/>
                <w:sz w:val="24"/>
              </w:rPr>
              <w:t>锅炉灰渣</w:t>
            </w:r>
          </w:p>
        </w:tc>
        <w:tc>
          <w:tcPr>
            <w:tcW w:w="1476" w:type="dxa"/>
            <w:tcBorders>
              <w:tl2br w:val="nil"/>
              <w:tr2bl w:val="nil"/>
            </w:tcBorders>
            <w:vAlign w:val="center"/>
          </w:tcPr>
          <w:p w14:paraId="3B7D3227">
            <w:pPr>
              <w:pStyle w:val="5"/>
            </w:pPr>
            <w:r>
              <w:rPr>
                <w:rFonts w:hint="eastAsia"/>
              </w:rPr>
              <w:t>/</w:t>
            </w:r>
          </w:p>
        </w:tc>
        <w:tc>
          <w:tcPr>
            <w:tcW w:w="1229" w:type="dxa"/>
            <w:tcBorders>
              <w:tl2br w:val="nil"/>
              <w:tr2bl w:val="nil"/>
            </w:tcBorders>
            <w:vAlign w:val="center"/>
          </w:tcPr>
          <w:p w14:paraId="610435A6">
            <w:pPr>
              <w:pStyle w:val="5"/>
            </w:pPr>
            <w:r>
              <w:rPr>
                <w:rFonts w:hint="eastAsia"/>
              </w:rPr>
              <w:t>/</w:t>
            </w:r>
          </w:p>
        </w:tc>
        <w:tc>
          <w:tcPr>
            <w:tcW w:w="1638" w:type="dxa"/>
            <w:tcBorders>
              <w:tl2br w:val="nil"/>
              <w:tr2bl w:val="nil"/>
            </w:tcBorders>
            <w:vAlign w:val="center"/>
          </w:tcPr>
          <w:p w14:paraId="00218A34">
            <w:pPr>
              <w:pStyle w:val="5"/>
            </w:pPr>
            <w:r>
              <w:rPr>
                <w:rFonts w:hint="eastAsia"/>
              </w:rPr>
              <w:t>/</w:t>
            </w:r>
          </w:p>
        </w:tc>
        <w:tc>
          <w:tcPr>
            <w:tcW w:w="1502" w:type="dxa"/>
            <w:tcBorders>
              <w:tl2br w:val="nil"/>
              <w:tr2bl w:val="nil"/>
            </w:tcBorders>
            <w:vAlign w:val="center"/>
          </w:tcPr>
          <w:p w14:paraId="7A19F204">
            <w:pPr>
              <w:pStyle w:val="15"/>
              <w:rPr>
                <w:rFonts w:hint="default" w:eastAsia="宋体"/>
                <w:sz w:val="24"/>
                <w:lang w:val="en-US" w:eastAsia="zh-CN"/>
              </w:rPr>
            </w:pPr>
            <w:r>
              <w:rPr>
                <w:rFonts w:hint="eastAsia"/>
                <w:sz w:val="24"/>
                <w:lang w:val="en-US" w:eastAsia="zh-CN"/>
              </w:rPr>
              <w:t>91.73</w:t>
            </w:r>
          </w:p>
        </w:tc>
        <w:tc>
          <w:tcPr>
            <w:tcW w:w="1697" w:type="dxa"/>
            <w:tcBorders>
              <w:tl2br w:val="nil"/>
              <w:tr2bl w:val="nil"/>
            </w:tcBorders>
            <w:vAlign w:val="center"/>
          </w:tcPr>
          <w:p w14:paraId="3ACCD7E1">
            <w:pPr>
              <w:pStyle w:val="5"/>
            </w:pPr>
            <w:r>
              <w:rPr>
                <w:rFonts w:hint="eastAsia"/>
              </w:rPr>
              <w:t>/</w:t>
            </w:r>
          </w:p>
        </w:tc>
        <w:tc>
          <w:tcPr>
            <w:tcW w:w="1888" w:type="dxa"/>
            <w:tcBorders>
              <w:tl2br w:val="nil"/>
              <w:tr2bl w:val="nil"/>
            </w:tcBorders>
            <w:vAlign w:val="center"/>
          </w:tcPr>
          <w:p w14:paraId="1D13160B">
            <w:pPr>
              <w:pStyle w:val="15"/>
              <w:rPr>
                <w:rFonts w:hint="default" w:eastAsia="宋体"/>
                <w:lang w:val="en-US" w:eastAsia="zh-CN"/>
              </w:rPr>
            </w:pPr>
            <w:r>
              <w:rPr>
                <w:rFonts w:hint="eastAsia"/>
                <w:sz w:val="24"/>
                <w:lang w:val="en-US" w:eastAsia="zh-CN"/>
              </w:rPr>
              <w:t>91.73</w:t>
            </w:r>
          </w:p>
        </w:tc>
        <w:tc>
          <w:tcPr>
            <w:tcW w:w="795" w:type="dxa"/>
            <w:tcBorders>
              <w:tl2br w:val="nil"/>
              <w:tr2bl w:val="nil"/>
            </w:tcBorders>
            <w:vAlign w:val="center"/>
          </w:tcPr>
          <w:p w14:paraId="3F48729E">
            <w:pPr>
              <w:pStyle w:val="5"/>
            </w:pPr>
            <w:r>
              <w:rPr>
                <w:rFonts w:hint="eastAsia"/>
              </w:rPr>
              <w:t>/</w:t>
            </w:r>
          </w:p>
        </w:tc>
      </w:tr>
      <w:tr w14:paraId="4F6E2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continue"/>
            <w:tcBorders>
              <w:tl2br w:val="nil"/>
              <w:tr2bl w:val="nil"/>
            </w:tcBorders>
            <w:vAlign w:val="center"/>
          </w:tcPr>
          <w:p w14:paraId="6C6B5562">
            <w:pPr>
              <w:pStyle w:val="5"/>
            </w:pPr>
          </w:p>
        </w:tc>
        <w:tc>
          <w:tcPr>
            <w:tcW w:w="1808" w:type="dxa"/>
            <w:tcBorders>
              <w:tl2br w:val="nil"/>
              <w:tr2bl w:val="nil"/>
            </w:tcBorders>
            <w:vAlign w:val="center"/>
          </w:tcPr>
          <w:p w14:paraId="44B588E0">
            <w:pPr>
              <w:pStyle w:val="15"/>
              <w:rPr>
                <w:sz w:val="24"/>
              </w:rPr>
            </w:pPr>
            <w:r>
              <w:rPr>
                <w:rFonts w:hint="eastAsia"/>
                <w:sz w:val="24"/>
              </w:rPr>
              <w:t>除尘</w:t>
            </w:r>
            <w:r>
              <w:rPr>
                <w:rFonts w:hint="eastAsia"/>
                <w:sz w:val="24"/>
                <w:lang w:val="en-US" w:eastAsia="zh-CN"/>
              </w:rPr>
              <w:t>器</w:t>
            </w:r>
            <w:r>
              <w:rPr>
                <w:rFonts w:hint="eastAsia"/>
                <w:sz w:val="24"/>
              </w:rPr>
              <w:t>收集的粉尘</w:t>
            </w:r>
          </w:p>
        </w:tc>
        <w:tc>
          <w:tcPr>
            <w:tcW w:w="1476" w:type="dxa"/>
            <w:tcBorders>
              <w:tl2br w:val="nil"/>
              <w:tr2bl w:val="nil"/>
            </w:tcBorders>
            <w:vAlign w:val="center"/>
          </w:tcPr>
          <w:p w14:paraId="3D3C75A1">
            <w:pPr>
              <w:pStyle w:val="5"/>
            </w:pPr>
            <w:r>
              <w:rPr>
                <w:rFonts w:hint="eastAsia"/>
              </w:rPr>
              <w:t>/</w:t>
            </w:r>
          </w:p>
        </w:tc>
        <w:tc>
          <w:tcPr>
            <w:tcW w:w="1229" w:type="dxa"/>
            <w:tcBorders>
              <w:tl2br w:val="nil"/>
              <w:tr2bl w:val="nil"/>
            </w:tcBorders>
            <w:vAlign w:val="center"/>
          </w:tcPr>
          <w:p w14:paraId="37372000">
            <w:pPr>
              <w:pStyle w:val="5"/>
            </w:pPr>
            <w:r>
              <w:rPr>
                <w:rFonts w:hint="eastAsia"/>
              </w:rPr>
              <w:t>/</w:t>
            </w:r>
          </w:p>
        </w:tc>
        <w:tc>
          <w:tcPr>
            <w:tcW w:w="1638" w:type="dxa"/>
            <w:tcBorders>
              <w:tl2br w:val="nil"/>
              <w:tr2bl w:val="nil"/>
            </w:tcBorders>
            <w:vAlign w:val="center"/>
          </w:tcPr>
          <w:p w14:paraId="37574CC3">
            <w:pPr>
              <w:pStyle w:val="5"/>
            </w:pPr>
            <w:r>
              <w:rPr>
                <w:rFonts w:hint="eastAsia"/>
              </w:rPr>
              <w:t>/</w:t>
            </w:r>
          </w:p>
        </w:tc>
        <w:tc>
          <w:tcPr>
            <w:tcW w:w="1502" w:type="dxa"/>
            <w:tcBorders>
              <w:tl2br w:val="nil"/>
              <w:tr2bl w:val="nil"/>
            </w:tcBorders>
            <w:vAlign w:val="center"/>
          </w:tcPr>
          <w:p w14:paraId="65D2F895">
            <w:pPr>
              <w:pStyle w:val="15"/>
              <w:rPr>
                <w:rFonts w:hint="default" w:eastAsia="宋体"/>
                <w:sz w:val="24"/>
                <w:lang w:val="en-US" w:eastAsia="zh-CN"/>
              </w:rPr>
            </w:pPr>
            <w:r>
              <w:rPr>
                <w:rFonts w:hint="eastAsia"/>
                <w:sz w:val="24"/>
                <w:lang w:val="en-US" w:eastAsia="zh-CN"/>
              </w:rPr>
              <w:t>1.02</w:t>
            </w:r>
          </w:p>
        </w:tc>
        <w:tc>
          <w:tcPr>
            <w:tcW w:w="1697" w:type="dxa"/>
            <w:tcBorders>
              <w:tl2br w:val="nil"/>
              <w:tr2bl w:val="nil"/>
            </w:tcBorders>
            <w:vAlign w:val="center"/>
          </w:tcPr>
          <w:p w14:paraId="1CB70326">
            <w:pPr>
              <w:pStyle w:val="5"/>
            </w:pPr>
            <w:r>
              <w:rPr>
                <w:rFonts w:hint="eastAsia"/>
              </w:rPr>
              <w:t>/</w:t>
            </w:r>
          </w:p>
        </w:tc>
        <w:tc>
          <w:tcPr>
            <w:tcW w:w="1888" w:type="dxa"/>
            <w:tcBorders>
              <w:tl2br w:val="nil"/>
              <w:tr2bl w:val="nil"/>
            </w:tcBorders>
            <w:vAlign w:val="center"/>
          </w:tcPr>
          <w:p w14:paraId="4597D359">
            <w:pPr>
              <w:pStyle w:val="15"/>
              <w:rPr>
                <w:rFonts w:hint="default" w:eastAsia="宋体"/>
                <w:lang w:val="en-US" w:eastAsia="zh-CN"/>
              </w:rPr>
            </w:pPr>
            <w:r>
              <w:rPr>
                <w:rFonts w:hint="eastAsia"/>
                <w:sz w:val="24"/>
                <w:lang w:val="en-US" w:eastAsia="zh-CN"/>
              </w:rPr>
              <w:t>1.02</w:t>
            </w:r>
          </w:p>
        </w:tc>
        <w:tc>
          <w:tcPr>
            <w:tcW w:w="795" w:type="dxa"/>
            <w:tcBorders>
              <w:tl2br w:val="nil"/>
              <w:tr2bl w:val="nil"/>
            </w:tcBorders>
            <w:vAlign w:val="center"/>
          </w:tcPr>
          <w:p w14:paraId="30D69873">
            <w:pPr>
              <w:pStyle w:val="5"/>
            </w:pPr>
            <w:r>
              <w:rPr>
                <w:rFonts w:hint="eastAsia"/>
              </w:rPr>
              <w:t>/</w:t>
            </w:r>
          </w:p>
        </w:tc>
      </w:tr>
      <w:tr w14:paraId="561C8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continue"/>
            <w:tcBorders>
              <w:tl2br w:val="nil"/>
              <w:tr2bl w:val="nil"/>
            </w:tcBorders>
            <w:vAlign w:val="center"/>
          </w:tcPr>
          <w:p w14:paraId="4562CEFD">
            <w:pPr>
              <w:pStyle w:val="5"/>
            </w:pPr>
          </w:p>
        </w:tc>
        <w:tc>
          <w:tcPr>
            <w:tcW w:w="1808" w:type="dxa"/>
            <w:tcBorders>
              <w:tl2br w:val="nil"/>
              <w:tr2bl w:val="nil"/>
            </w:tcBorders>
            <w:vAlign w:val="center"/>
          </w:tcPr>
          <w:p w14:paraId="4B2B9B62">
            <w:pPr>
              <w:pStyle w:val="15"/>
              <w:rPr>
                <w:sz w:val="24"/>
              </w:rPr>
            </w:pPr>
            <w:r>
              <w:rPr>
                <w:rFonts w:hint="eastAsia"/>
                <w:sz w:val="24"/>
              </w:rPr>
              <w:t>废包装材料</w:t>
            </w:r>
          </w:p>
        </w:tc>
        <w:tc>
          <w:tcPr>
            <w:tcW w:w="1476" w:type="dxa"/>
            <w:tcBorders>
              <w:tl2br w:val="nil"/>
              <w:tr2bl w:val="nil"/>
            </w:tcBorders>
            <w:vAlign w:val="center"/>
          </w:tcPr>
          <w:p w14:paraId="2705FEE5">
            <w:pPr>
              <w:pStyle w:val="5"/>
            </w:pPr>
            <w:r>
              <w:rPr>
                <w:rFonts w:hint="eastAsia"/>
              </w:rPr>
              <w:t>/</w:t>
            </w:r>
          </w:p>
        </w:tc>
        <w:tc>
          <w:tcPr>
            <w:tcW w:w="1229" w:type="dxa"/>
            <w:tcBorders>
              <w:tl2br w:val="nil"/>
              <w:tr2bl w:val="nil"/>
            </w:tcBorders>
            <w:vAlign w:val="center"/>
          </w:tcPr>
          <w:p w14:paraId="6897E957">
            <w:pPr>
              <w:pStyle w:val="5"/>
            </w:pPr>
            <w:r>
              <w:rPr>
                <w:rFonts w:hint="eastAsia"/>
              </w:rPr>
              <w:t>/</w:t>
            </w:r>
          </w:p>
        </w:tc>
        <w:tc>
          <w:tcPr>
            <w:tcW w:w="1638" w:type="dxa"/>
            <w:tcBorders>
              <w:tl2br w:val="nil"/>
              <w:tr2bl w:val="nil"/>
            </w:tcBorders>
            <w:vAlign w:val="center"/>
          </w:tcPr>
          <w:p w14:paraId="6743AE41">
            <w:pPr>
              <w:pStyle w:val="5"/>
            </w:pPr>
            <w:r>
              <w:rPr>
                <w:rFonts w:hint="eastAsia"/>
              </w:rPr>
              <w:t>/</w:t>
            </w:r>
          </w:p>
        </w:tc>
        <w:tc>
          <w:tcPr>
            <w:tcW w:w="1502" w:type="dxa"/>
            <w:tcBorders>
              <w:tl2br w:val="nil"/>
              <w:tr2bl w:val="nil"/>
            </w:tcBorders>
            <w:vAlign w:val="center"/>
          </w:tcPr>
          <w:p w14:paraId="41D6E8FC">
            <w:pPr>
              <w:pStyle w:val="15"/>
              <w:rPr>
                <w:sz w:val="24"/>
              </w:rPr>
            </w:pPr>
            <w:r>
              <w:rPr>
                <w:rFonts w:hint="eastAsia"/>
                <w:sz w:val="24"/>
              </w:rPr>
              <w:t>0.02</w:t>
            </w:r>
          </w:p>
        </w:tc>
        <w:tc>
          <w:tcPr>
            <w:tcW w:w="1697" w:type="dxa"/>
            <w:tcBorders>
              <w:tl2br w:val="nil"/>
              <w:tr2bl w:val="nil"/>
            </w:tcBorders>
            <w:vAlign w:val="center"/>
          </w:tcPr>
          <w:p w14:paraId="6E9CA32A">
            <w:pPr>
              <w:pStyle w:val="5"/>
            </w:pPr>
            <w:r>
              <w:rPr>
                <w:rFonts w:hint="eastAsia"/>
              </w:rPr>
              <w:t>/</w:t>
            </w:r>
          </w:p>
        </w:tc>
        <w:tc>
          <w:tcPr>
            <w:tcW w:w="1888" w:type="dxa"/>
            <w:tcBorders>
              <w:tl2br w:val="nil"/>
              <w:tr2bl w:val="nil"/>
            </w:tcBorders>
            <w:vAlign w:val="center"/>
          </w:tcPr>
          <w:p w14:paraId="22CAEA2C">
            <w:pPr>
              <w:pStyle w:val="15"/>
            </w:pPr>
            <w:r>
              <w:rPr>
                <w:rFonts w:hint="eastAsia"/>
                <w:sz w:val="24"/>
              </w:rPr>
              <w:t>0.02</w:t>
            </w:r>
          </w:p>
        </w:tc>
        <w:tc>
          <w:tcPr>
            <w:tcW w:w="795" w:type="dxa"/>
            <w:tcBorders>
              <w:tl2br w:val="nil"/>
              <w:tr2bl w:val="nil"/>
            </w:tcBorders>
            <w:vAlign w:val="center"/>
          </w:tcPr>
          <w:p w14:paraId="57049A32">
            <w:pPr>
              <w:pStyle w:val="5"/>
            </w:pPr>
            <w:r>
              <w:rPr>
                <w:rFonts w:hint="eastAsia"/>
              </w:rPr>
              <w:t>/</w:t>
            </w:r>
          </w:p>
        </w:tc>
      </w:tr>
      <w:tr w14:paraId="74AAE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vMerge w:val="continue"/>
            <w:tcBorders>
              <w:tl2br w:val="nil"/>
              <w:tr2bl w:val="nil"/>
            </w:tcBorders>
            <w:vAlign w:val="center"/>
          </w:tcPr>
          <w:p w14:paraId="6DA49AD4">
            <w:pPr>
              <w:pStyle w:val="5"/>
            </w:pPr>
          </w:p>
        </w:tc>
        <w:tc>
          <w:tcPr>
            <w:tcW w:w="1808" w:type="dxa"/>
            <w:tcBorders>
              <w:tl2br w:val="nil"/>
              <w:tr2bl w:val="nil"/>
            </w:tcBorders>
            <w:vAlign w:val="center"/>
          </w:tcPr>
          <w:p w14:paraId="762A03E0">
            <w:pPr>
              <w:pStyle w:val="15"/>
              <w:rPr>
                <w:sz w:val="24"/>
              </w:rPr>
            </w:pPr>
            <w:r>
              <w:rPr>
                <w:rFonts w:hint="eastAsia"/>
                <w:sz w:val="24"/>
              </w:rPr>
              <w:t>纯水制备废滤芯</w:t>
            </w:r>
          </w:p>
        </w:tc>
        <w:tc>
          <w:tcPr>
            <w:tcW w:w="1476" w:type="dxa"/>
            <w:tcBorders>
              <w:tl2br w:val="nil"/>
              <w:tr2bl w:val="nil"/>
            </w:tcBorders>
            <w:vAlign w:val="center"/>
          </w:tcPr>
          <w:p w14:paraId="41365D2A">
            <w:pPr>
              <w:pStyle w:val="5"/>
            </w:pPr>
            <w:r>
              <w:rPr>
                <w:rFonts w:hint="eastAsia"/>
              </w:rPr>
              <w:t>/</w:t>
            </w:r>
          </w:p>
        </w:tc>
        <w:tc>
          <w:tcPr>
            <w:tcW w:w="1229" w:type="dxa"/>
            <w:tcBorders>
              <w:tl2br w:val="nil"/>
              <w:tr2bl w:val="nil"/>
            </w:tcBorders>
            <w:vAlign w:val="center"/>
          </w:tcPr>
          <w:p w14:paraId="74E7D2C0">
            <w:pPr>
              <w:pStyle w:val="5"/>
            </w:pPr>
            <w:r>
              <w:rPr>
                <w:rFonts w:hint="eastAsia"/>
              </w:rPr>
              <w:t>/</w:t>
            </w:r>
          </w:p>
        </w:tc>
        <w:tc>
          <w:tcPr>
            <w:tcW w:w="1638" w:type="dxa"/>
            <w:tcBorders>
              <w:tl2br w:val="nil"/>
              <w:tr2bl w:val="nil"/>
            </w:tcBorders>
            <w:vAlign w:val="center"/>
          </w:tcPr>
          <w:p w14:paraId="6AAFA311">
            <w:pPr>
              <w:pStyle w:val="5"/>
            </w:pPr>
            <w:r>
              <w:rPr>
                <w:rFonts w:hint="eastAsia"/>
              </w:rPr>
              <w:t>/</w:t>
            </w:r>
          </w:p>
        </w:tc>
        <w:tc>
          <w:tcPr>
            <w:tcW w:w="1502" w:type="dxa"/>
            <w:tcBorders>
              <w:tl2br w:val="nil"/>
              <w:tr2bl w:val="nil"/>
            </w:tcBorders>
            <w:vAlign w:val="center"/>
          </w:tcPr>
          <w:p w14:paraId="72FBFB1B">
            <w:pPr>
              <w:pStyle w:val="15"/>
              <w:rPr>
                <w:sz w:val="24"/>
              </w:rPr>
            </w:pPr>
            <w:r>
              <w:rPr>
                <w:rFonts w:hint="eastAsia"/>
                <w:sz w:val="24"/>
              </w:rPr>
              <w:t>0.1</w:t>
            </w:r>
          </w:p>
        </w:tc>
        <w:tc>
          <w:tcPr>
            <w:tcW w:w="1697" w:type="dxa"/>
            <w:tcBorders>
              <w:tl2br w:val="nil"/>
              <w:tr2bl w:val="nil"/>
            </w:tcBorders>
            <w:vAlign w:val="center"/>
          </w:tcPr>
          <w:p w14:paraId="40C7784B">
            <w:pPr>
              <w:pStyle w:val="5"/>
            </w:pPr>
            <w:r>
              <w:rPr>
                <w:rFonts w:hint="eastAsia"/>
              </w:rPr>
              <w:t>/</w:t>
            </w:r>
          </w:p>
        </w:tc>
        <w:tc>
          <w:tcPr>
            <w:tcW w:w="1888" w:type="dxa"/>
            <w:tcBorders>
              <w:tl2br w:val="nil"/>
              <w:tr2bl w:val="nil"/>
            </w:tcBorders>
            <w:vAlign w:val="center"/>
          </w:tcPr>
          <w:p w14:paraId="6C78469C">
            <w:pPr>
              <w:pStyle w:val="15"/>
            </w:pPr>
            <w:r>
              <w:rPr>
                <w:rFonts w:hint="eastAsia"/>
                <w:sz w:val="24"/>
              </w:rPr>
              <w:t>0.1</w:t>
            </w:r>
          </w:p>
        </w:tc>
        <w:tc>
          <w:tcPr>
            <w:tcW w:w="795" w:type="dxa"/>
            <w:tcBorders>
              <w:tl2br w:val="nil"/>
              <w:tr2bl w:val="nil"/>
            </w:tcBorders>
            <w:vAlign w:val="center"/>
          </w:tcPr>
          <w:p w14:paraId="2E53196F">
            <w:pPr>
              <w:pStyle w:val="5"/>
            </w:pPr>
            <w:r>
              <w:rPr>
                <w:rFonts w:hint="eastAsia"/>
              </w:rPr>
              <w:t>/</w:t>
            </w:r>
          </w:p>
        </w:tc>
      </w:tr>
      <w:tr w14:paraId="6C5B9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70" w:type="pct"/>
            <w:tcBorders>
              <w:tl2br w:val="nil"/>
              <w:tr2bl w:val="nil"/>
            </w:tcBorders>
            <w:vAlign w:val="center"/>
          </w:tcPr>
          <w:p w14:paraId="28033380">
            <w:pPr>
              <w:pStyle w:val="5"/>
            </w:pPr>
            <w:r>
              <w:rPr>
                <w:rFonts w:hint="eastAsia"/>
              </w:rPr>
              <w:t>生活垃圾</w:t>
            </w:r>
          </w:p>
        </w:tc>
        <w:tc>
          <w:tcPr>
            <w:tcW w:w="680" w:type="pct"/>
            <w:tcBorders>
              <w:tl2br w:val="nil"/>
              <w:tr2bl w:val="nil"/>
            </w:tcBorders>
            <w:vAlign w:val="center"/>
          </w:tcPr>
          <w:p w14:paraId="725A924F">
            <w:pPr>
              <w:pStyle w:val="5"/>
            </w:pPr>
            <w:r>
              <w:rPr>
                <w:rFonts w:hint="eastAsia"/>
              </w:rPr>
              <w:t>生活垃圾</w:t>
            </w:r>
          </w:p>
        </w:tc>
        <w:tc>
          <w:tcPr>
            <w:tcW w:w="555" w:type="pct"/>
            <w:tcBorders>
              <w:tl2br w:val="nil"/>
              <w:tr2bl w:val="nil"/>
            </w:tcBorders>
            <w:vAlign w:val="center"/>
          </w:tcPr>
          <w:p w14:paraId="660D2D9B">
            <w:pPr>
              <w:pStyle w:val="5"/>
            </w:pPr>
            <w:r>
              <w:rPr>
                <w:rFonts w:hint="eastAsia"/>
              </w:rPr>
              <w:t>/</w:t>
            </w:r>
          </w:p>
        </w:tc>
        <w:tc>
          <w:tcPr>
            <w:tcW w:w="462" w:type="pct"/>
            <w:tcBorders>
              <w:tl2br w:val="nil"/>
              <w:tr2bl w:val="nil"/>
            </w:tcBorders>
            <w:vAlign w:val="center"/>
          </w:tcPr>
          <w:p w14:paraId="26744C9D">
            <w:pPr>
              <w:pStyle w:val="5"/>
            </w:pPr>
            <w:r>
              <w:rPr>
                <w:rFonts w:hint="eastAsia"/>
              </w:rPr>
              <w:t>/</w:t>
            </w:r>
          </w:p>
        </w:tc>
        <w:tc>
          <w:tcPr>
            <w:tcW w:w="616" w:type="pct"/>
            <w:tcBorders>
              <w:tl2br w:val="nil"/>
              <w:tr2bl w:val="nil"/>
            </w:tcBorders>
            <w:vAlign w:val="center"/>
          </w:tcPr>
          <w:p w14:paraId="24EEC419">
            <w:pPr>
              <w:pStyle w:val="5"/>
            </w:pPr>
            <w:r>
              <w:rPr>
                <w:rFonts w:hint="eastAsia"/>
              </w:rPr>
              <w:t>/</w:t>
            </w:r>
          </w:p>
        </w:tc>
        <w:tc>
          <w:tcPr>
            <w:tcW w:w="565" w:type="pct"/>
            <w:tcBorders>
              <w:tl2br w:val="nil"/>
              <w:tr2bl w:val="nil"/>
            </w:tcBorders>
            <w:vAlign w:val="center"/>
          </w:tcPr>
          <w:p w14:paraId="0823BFD8">
            <w:pPr>
              <w:pStyle w:val="5"/>
            </w:pPr>
            <w:r>
              <w:rPr>
                <w:rFonts w:hint="eastAsia"/>
              </w:rPr>
              <w:t>3</w:t>
            </w:r>
          </w:p>
        </w:tc>
        <w:tc>
          <w:tcPr>
            <w:tcW w:w="638" w:type="pct"/>
            <w:tcBorders>
              <w:tl2br w:val="nil"/>
              <w:tr2bl w:val="nil"/>
            </w:tcBorders>
            <w:vAlign w:val="center"/>
          </w:tcPr>
          <w:p w14:paraId="25DD8BA0">
            <w:pPr>
              <w:pStyle w:val="5"/>
            </w:pPr>
            <w:r>
              <w:rPr>
                <w:rFonts w:hint="eastAsia"/>
              </w:rPr>
              <w:t>/</w:t>
            </w:r>
          </w:p>
        </w:tc>
        <w:tc>
          <w:tcPr>
            <w:tcW w:w="710" w:type="pct"/>
            <w:tcBorders>
              <w:tl2br w:val="nil"/>
              <w:tr2bl w:val="nil"/>
            </w:tcBorders>
            <w:vAlign w:val="center"/>
          </w:tcPr>
          <w:p w14:paraId="5D9DA766">
            <w:pPr>
              <w:pStyle w:val="5"/>
            </w:pPr>
            <w:r>
              <w:rPr>
                <w:rFonts w:hint="eastAsia"/>
              </w:rPr>
              <w:t>3</w:t>
            </w:r>
          </w:p>
        </w:tc>
        <w:tc>
          <w:tcPr>
            <w:tcW w:w="299" w:type="pct"/>
            <w:tcBorders>
              <w:tl2br w:val="nil"/>
              <w:tr2bl w:val="nil"/>
            </w:tcBorders>
            <w:vAlign w:val="center"/>
          </w:tcPr>
          <w:p w14:paraId="2781EAF3">
            <w:pPr>
              <w:pStyle w:val="5"/>
            </w:pPr>
            <w:r>
              <w:rPr>
                <w:rFonts w:hint="eastAsia"/>
              </w:rPr>
              <w:t>/</w:t>
            </w:r>
          </w:p>
        </w:tc>
      </w:tr>
    </w:tbl>
    <w:p w14:paraId="52040405">
      <w:pPr>
        <w:ind w:firstLine="480"/>
      </w:pPr>
      <w:r>
        <w:rPr>
          <w:rFonts w:hint="eastAsia"/>
        </w:rPr>
        <w:t>注：⑥=①+③+④-⑤；⑦=⑥-①</w:t>
      </w:r>
    </w:p>
    <w:p w14:paraId="0007360D">
      <w:pPr>
        <w:ind w:firstLine="480"/>
      </w:pPr>
    </w:p>
    <w:p w14:paraId="41BF9662">
      <w:pPr>
        <w:ind w:firstLine="0" w:firstLineChars="0"/>
        <w:sectPr>
          <w:footerReference r:id="rId12" w:type="default"/>
          <w:pgSz w:w="16838" w:h="11906" w:orient="landscape"/>
          <w:pgMar w:top="1440" w:right="1803" w:bottom="1440" w:left="1803" w:header="851" w:footer="992" w:gutter="0"/>
          <w:cols w:space="0" w:num="1"/>
          <w:docGrid w:type="lines" w:linePitch="312" w:charSpace="0"/>
        </w:sectPr>
      </w:pPr>
    </w:p>
    <w:p w14:paraId="1DA88B88">
      <w:pPr>
        <w:pStyle w:val="2"/>
        <w:jc w:val="both"/>
      </w:pPr>
      <w:bookmarkStart w:id="18" w:name="_Toc19818"/>
      <w:bookmarkStart w:id="22" w:name="_GoBack"/>
      <w:bookmarkEnd w:id="22"/>
      <w:r>
        <w:t>附图1</w:t>
      </w:r>
      <w:r>
        <w:rPr>
          <w:rFonts w:hint="eastAsia"/>
        </w:rPr>
        <w:t xml:space="preserve"> </w:t>
      </w:r>
      <w:r>
        <w:t>项目地理位置</w:t>
      </w:r>
      <w:r>
        <w:rPr>
          <w:rFonts w:hint="eastAsia"/>
        </w:rPr>
        <w:t>图</w:t>
      </w:r>
      <w:bookmarkEnd w:id="18"/>
    </w:p>
    <w:p w14:paraId="261E0751">
      <w:pPr>
        <w:ind w:firstLine="0" w:firstLineChars="0"/>
        <w:jc w:val="center"/>
      </w:pPr>
      <w:r>
        <w:drawing>
          <wp:inline distT="0" distB="0" distL="114300" distR="114300">
            <wp:extent cx="7028180" cy="5090160"/>
            <wp:effectExtent l="0" t="0" r="1270" b="15240"/>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pic:cNvPicPr>
                      <a:picLocks noChangeAspect="1"/>
                    </pic:cNvPicPr>
                  </pic:nvPicPr>
                  <pic:blipFill>
                    <a:blip r:embed="rId28"/>
                    <a:stretch>
                      <a:fillRect/>
                    </a:stretch>
                  </pic:blipFill>
                  <pic:spPr>
                    <a:xfrm>
                      <a:off x="0" y="0"/>
                      <a:ext cx="7028180" cy="5090160"/>
                    </a:xfrm>
                    <a:prstGeom prst="rect">
                      <a:avLst/>
                    </a:prstGeom>
                    <a:noFill/>
                    <a:ln>
                      <a:noFill/>
                    </a:ln>
                  </pic:spPr>
                </pic:pic>
              </a:graphicData>
            </a:graphic>
          </wp:inline>
        </w:drawing>
      </w:r>
      <w:r>
        <mc:AlternateContent>
          <mc:Choice Requires="wps">
            <w:drawing>
              <wp:anchor distT="0" distB="0" distL="114300" distR="114300" simplePos="0" relativeHeight="251663360" behindDoc="0" locked="0" layoutInCell="1" allowOverlap="1">
                <wp:simplePos x="0" y="0"/>
                <wp:positionH relativeFrom="column">
                  <wp:posOffset>2758440</wp:posOffset>
                </wp:positionH>
                <wp:positionV relativeFrom="paragraph">
                  <wp:posOffset>3376295</wp:posOffset>
                </wp:positionV>
                <wp:extent cx="1675130" cy="740410"/>
                <wp:effectExtent l="280035" t="4445" r="6985" b="17145"/>
                <wp:wrapNone/>
                <wp:docPr id="24" name="矩形标注 24"/>
                <wp:cNvGraphicFramePr/>
                <a:graphic xmlns:a="http://schemas.openxmlformats.org/drawingml/2006/main">
                  <a:graphicData uri="http://schemas.microsoft.com/office/word/2010/wordprocessingShape">
                    <wps:wsp>
                      <wps:cNvSpPr/>
                      <wps:spPr>
                        <a:xfrm>
                          <a:off x="3679190" y="4576445"/>
                          <a:ext cx="1675130" cy="740410"/>
                        </a:xfrm>
                        <a:prstGeom prst="wedgeRectCallout">
                          <a:avLst>
                            <a:gd name="adj1" fmla="val -65815"/>
                            <a:gd name="adj2" fmla="val 10291"/>
                          </a:avLst>
                        </a:prstGeom>
                        <a:solidFill>
                          <a:srgbClr val="FFFFFF"/>
                        </a:solidFill>
                        <a:ln w="9525" cap="flat" cmpd="sng">
                          <a:solidFill>
                            <a:srgbClr val="000000"/>
                          </a:solidFill>
                          <a:prstDash val="solid"/>
                          <a:miter/>
                          <a:headEnd type="none" w="med" len="med"/>
                          <a:tailEnd type="none" w="med" len="med"/>
                        </a:ln>
                      </wps:spPr>
                      <wps:txbx>
                        <w:txbxContent>
                          <w:p w14:paraId="47CF2BC2">
                            <w:pPr>
                              <w:spacing w:line="240" w:lineRule="auto"/>
                              <w:ind w:firstLine="0" w:firstLineChars="0"/>
                              <w:rPr>
                                <w:sz w:val="21"/>
                                <w:szCs w:val="21"/>
                              </w:rPr>
                            </w:pPr>
                            <w:r>
                              <w:rPr>
                                <w:rFonts w:hint="eastAsia"/>
                                <w:sz w:val="21"/>
                                <w:szCs w:val="21"/>
                              </w:rPr>
                              <w:t>项目所在地（东经113°9′12.24917″，北纬29°16′39.59484″）</w:t>
                            </w:r>
                          </w:p>
                        </w:txbxContent>
                      </wps:txbx>
                      <wps:bodyPr upright="1"/>
                    </wps:wsp>
                  </a:graphicData>
                </a:graphic>
              </wp:anchor>
            </w:drawing>
          </mc:Choice>
          <mc:Fallback>
            <w:pict>
              <v:shape id="_x0000_s1026" o:spid="_x0000_s1026" o:spt="61" type="#_x0000_t61" style="position:absolute;left:0pt;margin-left:217.2pt;margin-top:265.85pt;height:58.3pt;width:131.9pt;z-index:251663360;mso-width-relative:page;mso-height-relative:page;" fillcolor="#FFFFFF" filled="t" stroked="t" coordsize="21600,21600" o:gfxdata="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aykbU2QAAAAsBAAAPAAAAAAAAAAEA&#10;IAAAACIAAABkcnMvZG93bnJldi54bWxQSwECFAAUAAAACACHTuJAkc8FUEcCAACbBAAADgAAAAAA&#10;AAABACAAAAAoAQAAZHJzL2Uyb0RvYy54bWxQSwUGAAAAAAYABgBZAQAA4QUAAAAA&#10;" adj="-3416,13023">
                <v:fill on="t" focussize="0,0"/>
                <v:stroke color="#000000" joinstyle="miter"/>
                <v:imagedata o:title=""/>
                <o:lock v:ext="edit" aspectratio="f"/>
                <v:textbox>
                  <w:txbxContent>
                    <w:p w14:paraId="47CF2BC2">
                      <w:pPr>
                        <w:spacing w:line="240" w:lineRule="auto"/>
                        <w:ind w:firstLine="0" w:firstLineChars="0"/>
                        <w:rPr>
                          <w:sz w:val="21"/>
                          <w:szCs w:val="21"/>
                        </w:rPr>
                      </w:pPr>
                      <w:r>
                        <w:rPr>
                          <w:rFonts w:hint="eastAsia"/>
                          <w:sz w:val="21"/>
                          <w:szCs w:val="21"/>
                        </w:rPr>
                        <w:t>项目所在地（东经113°9′12.24917″，北纬29°16′39.59484″）</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2360295</wp:posOffset>
                </wp:positionH>
                <wp:positionV relativeFrom="paragraph">
                  <wp:posOffset>3774440</wp:posOffset>
                </wp:positionV>
                <wp:extent cx="138430" cy="138430"/>
                <wp:effectExtent l="12700" t="12700" r="20320" b="20320"/>
                <wp:wrapNone/>
                <wp:docPr id="23" name="任意多边形 23"/>
                <wp:cNvGraphicFramePr/>
                <a:graphic xmlns:a="http://schemas.openxmlformats.org/drawingml/2006/main">
                  <a:graphicData uri="http://schemas.microsoft.com/office/word/2010/wordprocessingShape">
                    <wps:wsp>
                      <wps:cNvSpPr/>
                      <wps:spPr>
                        <a:xfrm>
                          <a:off x="6224270" y="5241925"/>
                          <a:ext cx="138430" cy="138430"/>
                        </a:xfrm>
                        <a:custGeom>
                          <a:avLst/>
                          <a:gdLst/>
                          <a:ahLst/>
                          <a:cxnLst>
                            <a:cxn ang="16187392">
                              <a:pos x="109" y="0"/>
                            </a:cxn>
                            <a:cxn ang="10747904">
                              <a:pos x="0" y="83"/>
                            </a:cxn>
                            <a:cxn ang="5373952">
                              <a:pos x="41" y="217"/>
                            </a:cxn>
                            <a:cxn ang="5373952">
                              <a:pos x="176" y="217"/>
                            </a:cxn>
                            <a:cxn ang="0">
                              <a:pos x="217" y="83"/>
                            </a:cxn>
                          </a:cxnLst>
                          <a:rect l="0" t="0" r="0" b="0"/>
                          <a:pathLst>
                            <a:path w="218" h="218">
                              <a:moveTo>
                                <a:pt x="0" y="83"/>
                              </a:moveTo>
                              <a:lnTo>
                                <a:pt x="83" y="83"/>
                              </a:lnTo>
                              <a:lnTo>
                                <a:pt x="109" y="0"/>
                              </a:lnTo>
                              <a:lnTo>
                                <a:pt x="134" y="83"/>
                              </a:lnTo>
                              <a:lnTo>
                                <a:pt x="217" y="83"/>
                              </a:lnTo>
                              <a:lnTo>
                                <a:pt x="150" y="134"/>
                              </a:lnTo>
                              <a:lnTo>
                                <a:pt x="176" y="217"/>
                              </a:lnTo>
                              <a:lnTo>
                                <a:pt x="109" y="166"/>
                              </a:lnTo>
                              <a:lnTo>
                                <a:pt x="41" y="217"/>
                              </a:lnTo>
                              <a:lnTo>
                                <a:pt x="67" y="134"/>
                              </a:lnTo>
                              <a:close/>
                            </a:path>
                          </a:pathLst>
                        </a:custGeom>
                        <a:solidFill>
                          <a:srgbClr val="FF0000"/>
                        </a:solidFill>
                        <a:ln w="25400" cap="flat" cmpd="sng">
                          <a:solidFill>
                            <a:srgbClr val="FF0000"/>
                          </a:solidFill>
                          <a:prstDash val="solid"/>
                          <a:round/>
                          <a:headEnd type="none" w="med" len="med"/>
                          <a:tailEnd type="none" w="med" len="med"/>
                        </a:ln>
                      </wps:spPr>
                      <wps:bodyPr anchor="ctr" anchorCtr="0" upright="1"/>
                    </wps:wsp>
                  </a:graphicData>
                </a:graphic>
              </wp:anchor>
            </w:drawing>
          </mc:Choice>
          <mc:Fallback>
            <w:pict>
              <v:shape id="_x0000_s1026" o:spid="_x0000_s1026" o:spt="100" style="position:absolute;left:0pt;margin-left:185.85pt;margin-top:297.2pt;height:10.9pt;width:10.9pt;z-index:251660288;v-text-anchor:middle;mso-width-relative:page;mso-height-relative:page;" fillcolor="#FF0000" filled="t" stroked="t" coordsize="218,218" o:gfxdata="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" path="m0,83l83,83,109,0,134,83,217,83,150,134,176,217,109,166,41,217,67,134xe">
                <v:path o:connectlocs="109,0;0,83;41,217;176,217;217,83" o:connectangles="247,164,82,82,0"/>
                <v:fill on="t" focussize="0,0"/>
                <v:stroke weight="2pt" color="#FF0000" joinstyle="round"/>
                <v:imagedata o:title=""/>
                <o:lock v:ext="edit" aspectratio="f"/>
              </v:shape>
            </w:pict>
          </mc:Fallback>
        </mc:AlternateContent>
      </w:r>
      <w:r>
        <w:drawing>
          <wp:anchor distT="0" distB="0" distL="114300" distR="114300" simplePos="0" relativeHeight="251662336" behindDoc="0" locked="0" layoutInCell="1" allowOverlap="1">
            <wp:simplePos x="0" y="0"/>
            <wp:positionH relativeFrom="column">
              <wp:posOffset>7315200</wp:posOffset>
            </wp:positionH>
            <wp:positionV relativeFrom="paragraph">
              <wp:posOffset>155575</wp:posOffset>
            </wp:positionV>
            <wp:extent cx="371475" cy="703580"/>
            <wp:effectExtent l="0" t="0" r="9525" b="1270"/>
            <wp:wrapNone/>
            <wp:docPr id="22" name="图片 20" descr="file:///C:\Users\Administrator\Documents\WXWork\1688853966596453\Cache\Image\2021-12\企业微信截图_163971059077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descr="file:///C:\Users\Administrator\Documents\WXWork\1688853966596453\Cache\Image\2021-12\企业微信截图_16397105907790.png"/>
                    <pic:cNvPicPr>
                      <a:picLocks noChangeAspect="1"/>
                    </pic:cNvPicPr>
                  </pic:nvPicPr>
                  <pic:blipFill>
                    <a:blip r:embed="rId29" r:link="rId30"/>
                    <a:stretch>
                      <a:fillRect/>
                    </a:stretch>
                  </pic:blipFill>
                  <pic:spPr>
                    <a:xfrm>
                      <a:off x="8460105" y="1494155"/>
                      <a:ext cx="371475" cy="703580"/>
                    </a:xfrm>
                    <a:prstGeom prst="rect">
                      <a:avLst/>
                    </a:prstGeom>
                    <a:noFill/>
                    <a:ln>
                      <a:noFill/>
                    </a:ln>
                  </pic:spPr>
                </pic:pic>
              </a:graphicData>
            </a:graphic>
          </wp:anchor>
        </w:drawing>
      </w:r>
    </w:p>
    <w:p w14:paraId="43C84C6C">
      <w:pPr>
        <w:pStyle w:val="2"/>
        <w:jc w:val="both"/>
      </w:pPr>
      <w:bookmarkStart w:id="19" w:name="_Toc1855"/>
      <w:r>
        <w:t>附图</w:t>
      </w:r>
      <w:r>
        <w:rPr>
          <w:rFonts w:hint="eastAsia"/>
        </w:rPr>
        <w:t>2 项目</w:t>
      </w:r>
      <w:r>
        <w:t>环境保护目标图</w:t>
      </w:r>
      <w:bookmarkEnd w:id="19"/>
    </w:p>
    <w:p w14:paraId="72677958">
      <w:pPr>
        <w:ind w:firstLine="0" w:firstLineChars="0"/>
        <w:jc w:val="center"/>
      </w:pPr>
      <w:r>
        <mc:AlternateContent>
          <mc:Choice Requires="wpg">
            <w:drawing>
              <wp:anchor distT="0" distB="0" distL="114300" distR="114300" simplePos="0" relativeHeight="251665408" behindDoc="0" locked="0" layoutInCell="1" allowOverlap="1">
                <wp:simplePos x="0" y="0"/>
                <wp:positionH relativeFrom="column">
                  <wp:posOffset>914400</wp:posOffset>
                </wp:positionH>
                <wp:positionV relativeFrom="paragraph">
                  <wp:posOffset>93345</wp:posOffset>
                </wp:positionV>
                <wp:extent cx="6591300" cy="5108575"/>
                <wp:effectExtent l="4445" t="0" r="14605" b="15875"/>
                <wp:wrapNone/>
                <wp:docPr id="40" name="组合 40"/>
                <wp:cNvGraphicFramePr/>
                <a:graphic xmlns:a="http://schemas.openxmlformats.org/drawingml/2006/main">
                  <a:graphicData uri="http://schemas.microsoft.com/office/word/2010/wordprocessingGroup">
                    <wpg:wgp>
                      <wpg:cNvGrpSpPr/>
                      <wpg:grpSpPr>
                        <a:xfrm>
                          <a:off x="0" y="0"/>
                          <a:ext cx="6591300" cy="5108575"/>
                          <a:chOff x="3541" y="1019934"/>
                          <a:chExt cx="10380" cy="8045"/>
                        </a:xfrm>
                      </wpg:grpSpPr>
                      <pic:pic xmlns:pic="http://schemas.openxmlformats.org/drawingml/2006/picture">
                        <pic:nvPicPr>
                          <pic:cNvPr id="27" name="图片 41" descr="file:///C:\Users\Administrator\Documents\WXWork\1688853966596453\Cache\Image\2021-12\企业微信截图_16397105907790.png"/>
                          <pic:cNvPicPr>
                            <a:picLocks noChangeAspect="1"/>
                          </pic:cNvPicPr>
                        </pic:nvPicPr>
                        <pic:blipFill>
                          <a:blip r:embed="rId29" r:link="rId30"/>
                          <a:stretch>
                            <a:fillRect/>
                          </a:stretch>
                        </pic:blipFill>
                        <pic:spPr>
                          <a:xfrm>
                            <a:off x="13263" y="1019934"/>
                            <a:ext cx="659" cy="1108"/>
                          </a:xfrm>
                          <a:prstGeom prst="rect">
                            <a:avLst/>
                          </a:prstGeom>
                          <a:noFill/>
                          <a:ln>
                            <a:noFill/>
                          </a:ln>
                        </pic:spPr>
                      </pic:pic>
                      <wps:wsp>
                        <wps:cNvPr id="28" name="文本框 28"/>
                        <wps:cNvSpPr txBox="1"/>
                        <wps:spPr>
                          <a:xfrm>
                            <a:off x="3541" y="1026501"/>
                            <a:ext cx="1671" cy="1478"/>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72154B54">
                              <w:pPr>
                                <w:spacing w:line="240" w:lineRule="auto"/>
                                <w:ind w:firstLine="0" w:firstLineChars="0"/>
                                <w:jc w:val="center"/>
                                <w:rPr>
                                  <w:sz w:val="18"/>
                                  <w:szCs w:val="18"/>
                                </w:rPr>
                              </w:pPr>
                              <w:r>
                                <w:rPr>
                                  <w:rFonts w:hint="eastAsia"/>
                                  <w:sz w:val="18"/>
                                  <w:szCs w:val="18"/>
                                </w:rPr>
                                <w:t>图例</w:t>
                              </w:r>
                            </w:p>
                            <w:p w14:paraId="79BDC305">
                              <w:pPr>
                                <w:pStyle w:val="5"/>
                                <w:jc w:val="both"/>
                                <w:rPr>
                                  <w:sz w:val="18"/>
                                  <w:szCs w:val="18"/>
                                </w:rPr>
                              </w:pPr>
                              <w:r>
                                <w:rPr>
                                  <w:rFonts w:hint="eastAsia"/>
                                  <w:sz w:val="18"/>
                                  <w:szCs w:val="18"/>
                                </w:rPr>
                                <w:t>厂区范围</w:t>
                              </w:r>
                            </w:p>
                            <w:p w14:paraId="0E4F61A2">
                              <w:pPr>
                                <w:spacing w:line="240" w:lineRule="auto"/>
                                <w:ind w:firstLine="0" w:firstLineChars="0"/>
                                <w:rPr>
                                  <w:sz w:val="18"/>
                                  <w:szCs w:val="18"/>
                                </w:rPr>
                              </w:pPr>
                              <w:r>
                                <w:rPr>
                                  <w:rFonts w:hint="eastAsia"/>
                                  <w:sz w:val="18"/>
                                  <w:szCs w:val="18"/>
                                  <w:lang w:val="en-US" w:eastAsia="zh-CN"/>
                                </w:rPr>
                                <w:t>大气</w:t>
                              </w:r>
                              <w:r>
                                <w:rPr>
                                  <w:rFonts w:hint="eastAsia"/>
                                  <w:sz w:val="18"/>
                                  <w:szCs w:val="18"/>
                                </w:rPr>
                                <w:t>评价范围</w:t>
                              </w:r>
                            </w:p>
                            <w:p w14:paraId="141A6314">
                              <w:pPr>
                                <w:spacing w:line="240" w:lineRule="auto"/>
                                <w:ind w:firstLine="0" w:firstLineChars="0"/>
                                <w:rPr>
                                  <w:sz w:val="18"/>
                                  <w:szCs w:val="18"/>
                                </w:rPr>
                              </w:pPr>
                              <w:r>
                                <w:rPr>
                                  <w:rFonts w:hint="eastAsia"/>
                                  <w:sz w:val="18"/>
                                  <w:szCs w:val="18"/>
                                </w:rPr>
                                <w:t>敏感区范围</w:t>
                              </w:r>
                            </w:p>
                          </w:txbxContent>
                        </wps:txbx>
                        <wps:bodyPr upright="1"/>
                      </wps:wsp>
                      <wps:wsp>
                        <wps:cNvPr id="29" name="矩形 29"/>
                        <wps:cNvSpPr/>
                        <wps:spPr>
                          <a:xfrm>
                            <a:off x="4658" y="1026988"/>
                            <a:ext cx="430" cy="230"/>
                          </a:xfrm>
                          <a:prstGeom prst="rect">
                            <a:avLst/>
                          </a:prstGeom>
                          <a:noFill/>
                          <a:ln w="12700" cap="flat" cmpd="sng">
                            <a:solidFill>
                              <a:srgbClr val="FF0000"/>
                            </a:solidFill>
                            <a:prstDash val="solid"/>
                            <a:round/>
                            <a:headEnd type="none" w="med" len="med"/>
                            <a:tailEnd type="none" w="med" len="med"/>
                          </a:ln>
                        </wps:spPr>
                        <wps:bodyPr anchor="ctr" anchorCtr="0" upright="1"/>
                      </wps:wsp>
                      <wps:wsp>
                        <wps:cNvPr id="30" name="矩形 30"/>
                        <wps:cNvSpPr/>
                        <wps:spPr>
                          <a:xfrm>
                            <a:off x="4680" y="1027656"/>
                            <a:ext cx="430" cy="252"/>
                          </a:xfrm>
                          <a:prstGeom prst="rect">
                            <a:avLst/>
                          </a:prstGeom>
                          <a:noFill/>
                          <a:ln w="12700" cap="flat" cmpd="sng">
                            <a:solidFill>
                              <a:srgbClr val="0C0EDD"/>
                            </a:solidFill>
                            <a:prstDash val="solid"/>
                            <a:round/>
                            <a:headEnd type="none" w="med" len="med"/>
                            <a:tailEnd type="none" w="med" len="med"/>
                          </a:ln>
                        </wps:spPr>
                        <wps:bodyPr anchor="ctr" anchorCtr="0" upright="1"/>
                      </wps:wsp>
                      <wps:wsp>
                        <wps:cNvPr id="31" name="文本框 31"/>
                        <wps:cNvSpPr txBox="1"/>
                        <wps:spPr>
                          <a:xfrm>
                            <a:off x="9313" y="1026188"/>
                            <a:ext cx="2489" cy="1113"/>
                          </a:xfrm>
                          <a:prstGeom prst="rect">
                            <a:avLst/>
                          </a:prstGeom>
                          <a:noFill/>
                          <a:ln>
                            <a:noFill/>
                          </a:ln>
                        </wps:spPr>
                        <wps:txbx>
                          <w:txbxContent>
                            <w:p w14:paraId="02A9D749">
                              <w:pPr>
                                <w:spacing w:line="240" w:lineRule="auto"/>
                                <w:ind w:firstLine="0" w:firstLineChars="0"/>
                                <w:rPr>
                                  <w:b/>
                                  <w:bCs/>
                                  <w:sz w:val="21"/>
                                  <w:szCs w:val="21"/>
                                </w:rPr>
                              </w:pPr>
                              <w:r>
                                <w:rPr>
                                  <w:rFonts w:hint="eastAsia"/>
                                  <w:b/>
                                  <w:bCs/>
                                  <w:sz w:val="21"/>
                                  <w:szCs w:val="21"/>
                                </w:rPr>
                                <w:t>茅栗铺，南，300~500m，约20户</w:t>
                              </w:r>
                            </w:p>
                          </w:txbxContent>
                        </wps:txbx>
                        <wps:bodyPr upright="1"/>
                      </wps:wsp>
                      <wps:wsp>
                        <wps:cNvPr id="32" name="文本框 32"/>
                        <wps:cNvSpPr txBox="1"/>
                        <wps:spPr>
                          <a:xfrm>
                            <a:off x="10282" y="1022611"/>
                            <a:ext cx="2489" cy="1113"/>
                          </a:xfrm>
                          <a:prstGeom prst="rect">
                            <a:avLst/>
                          </a:prstGeom>
                          <a:noFill/>
                          <a:ln>
                            <a:noFill/>
                          </a:ln>
                        </wps:spPr>
                        <wps:txbx>
                          <w:txbxContent>
                            <w:p w14:paraId="786D68B1">
                              <w:pPr>
                                <w:spacing w:line="240" w:lineRule="auto"/>
                                <w:ind w:firstLine="0" w:firstLineChars="0"/>
                                <w:rPr>
                                  <w:b/>
                                  <w:bCs/>
                                  <w:sz w:val="21"/>
                                  <w:szCs w:val="21"/>
                                </w:rPr>
                              </w:pPr>
                              <w:r>
                                <w:rPr>
                                  <w:rFonts w:hint="eastAsia"/>
                                  <w:b/>
                                  <w:bCs/>
                                  <w:sz w:val="21"/>
                                  <w:szCs w:val="21"/>
                                </w:rPr>
                                <w:t>胡家村，东北，180~500m，约50户</w:t>
                              </w:r>
                            </w:p>
                          </w:txbxContent>
                        </wps:txbx>
                        <wps:bodyPr upright="1"/>
                      </wps:wsp>
                      <wps:wsp>
                        <wps:cNvPr id="37" name="椭圆 37"/>
                        <wps:cNvSpPr/>
                        <wps:spPr>
                          <a:xfrm>
                            <a:off x="4777" y="1027328"/>
                            <a:ext cx="230" cy="219"/>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72pt;margin-top:7.35pt;height:402.25pt;width:519pt;z-index:251665408;mso-width-relative:page;mso-height-relative:page;" coordorigin="3541,1019934" coordsize="10380,8045" o:gfxdata="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">
                <o:lock v:ext="edit" aspectratio="f"/>
                <v:shape id="图片 41" o:spid="_x0000_s1026" o:spt="75" alt="file:///C:\Users\Administrator\Documents\WXWork\1688853966596453\Cache\Image\2021-12\企业微信截图_16397105907790.png" type="#_x0000_t75" style="position:absolute;left:13263;top:1019934;height:1108;width:659;" filled="f" o:preferrelative="t" stroked="f" coordsize="21600,21600" o:gfxdata="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Lwz1vQAA&#10;ANsAAAAPAAAAAAAAAAEAIAAAACIAAABkcnMvZG93bnJldi54bWxQSwECFAAUAAAACACHTuJAMy8F&#10;njsAAAA5AAAAEAAAAAAAAAABACAAAAAMAQAAZHJzL3NoYXBleG1sLnhtbFBLBQYAAAAABgAGAFsB&#10;AAC2AwAAAAA=&#10;">
                  <v:fill on="f" focussize="0,0"/>
                  <v:stroke on="f"/>
                  <v:imagedata r:id="rId29" r:href="rId30" o:title=""/>
                  <o:lock v:ext="edit" aspectratio="t"/>
                </v:shape>
                <v:shape id="_x0000_s1026" o:spid="_x0000_s1026" o:spt="202" type="#_x0000_t202" style="position:absolute;left:3541;top:1026501;height:1478;width:1671;"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14:paraId="72154B54">
                        <w:pPr>
                          <w:spacing w:line="240" w:lineRule="auto"/>
                          <w:ind w:firstLine="0" w:firstLineChars="0"/>
                          <w:jc w:val="center"/>
                          <w:rPr>
                            <w:sz w:val="18"/>
                            <w:szCs w:val="18"/>
                          </w:rPr>
                        </w:pPr>
                        <w:r>
                          <w:rPr>
                            <w:rFonts w:hint="eastAsia"/>
                            <w:sz w:val="18"/>
                            <w:szCs w:val="18"/>
                          </w:rPr>
                          <w:t>图例</w:t>
                        </w:r>
                      </w:p>
                      <w:p w14:paraId="79BDC305">
                        <w:pPr>
                          <w:pStyle w:val="5"/>
                          <w:jc w:val="both"/>
                          <w:rPr>
                            <w:sz w:val="18"/>
                            <w:szCs w:val="18"/>
                          </w:rPr>
                        </w:pPr>
                        <w:r>
                          <w:rPr>
                            <w:rFonts w:hint="eastAsia"/>
                            <w:sz w:val="18"/>
                            <w:szCs w:val="18"/>
                          </w:rPr>
                          <w:t>厂区范围</w:t>
                        </w:r>
                      </w:p>
                      <w:p w14:paraId="0E4F61A2">
                        <w:pPr>
                          <w:spacing w:line="240" w:lineRule="auto"/>
                          <w:ind w:firstLine="0" w:firstLineChars="0"/>
                          <w:rPr>
                            <w:sz w:val="18"/>
                            <w:szCs w:val="18"/>
                          </w:rPr>
                        </w:pPr>
                        <w:r>
                          <w:rPr>
                            <w:rFonts w:hint="eastAsia"/>
                            <w:sz w:val="18"/>
                            <w:szCs w:val="18"/>
                            <w:lang w:val="en-US" w:eastAsia="zh-CN"/>
                          </w:rPr>
                          <w:t>大气</w:t>
                        </w:r>
                        <w:r>
                          <w:rPr>
                            <w:rFonts w:hint="eastAsia"/>
                            <w:sz w:val="18"/>
                            <w:szCs w:val="18"/>
                          </w:rPr>
                          <w:t>评价范围</w:t>
                        </w:r>
                      </w:p>
                      <w:p w14:paraId="141A6314">
                        <w:pPr>
                          <w:spacing w:line="240" w:lineRule="auto"/>
                          <w:ind w:firstLine="0" w:firstLineChars="0"/>
                          <w:rPr>
                            <w:sz w:val="18"/>
                            <w:szCs w:val="18"/>
                          </w:rPr>
                        </w:pPr>
                        <w:r>
                          <w:rPr>
                            <w:rFonts w:hint="eastAsia"/>
                            <w:sz w:val="18"/>
                            <w:szCs w:val="18"/>
                          </w:rPr>
                          <w:t>敏感区范围</w:t>
                        </w:r>
                      </w:p>
                    </w:txbxContent>
                  </v:textbox>
                </v:shape>
                <v:rect id="_x0000_s1026" o:spid="_x0000_s1026" o:spt="1" style="position:absolute;left:4658;top:1026988;height:230;width:430;v-text-anchor:middle;" filled="f" stroked="t" coordsize="21600,21600" o:gfxdata="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GdcgvQAA&#10;ANsAAAAPAAAAAAAAAAEAIAAAACIAAABkcnMvZG93bnJldi54bWxQSwECFAAUAAAACACHTuJAMy8F&#10;njsAAAA5AAAAEAAAAAAAAAABACAAAAAMAQAAZHJzL3NoYXBleG1sLnhtbFBLBQYAAAAABgAGAFsB&#10;AAC2AwAAAAA=&#10;">
                  <v:fill on="f" focussize="0,0"/>
                  <v:stroke weight="1pt" color="#FF0000" joinstyle="round"/>
                  <v:imagedata o:title=""/>
                  <o:lock v:ext="edit" aspectratio="f"/>
                </v:rect>
                <v:rect id="_x0000_s1026" o:spid="_x0000_s1026" o:spt="1" style="position:absolute;left:4680;top:1027656;height:252;width:430;v-text-anchor:middle;" filled="f" stroked="t" coordsize="21600,21600" o:gfxdata="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E5yR+8AAAA&#10;2wAAAA8AAAAAAAAAAQAgAAAAIgAAAGRycy9kb3ducmV2LnhtbFBLAQIUABQAAAAIAIdO4kAzLwWe&#10;OwAAADkAAAAQAAAAAAAAAAEAIAAAAAsBAABkcnMvc2hhcGV4bWwueG1sUEsFBgAAAAAGAAYAWwEA&#10;ALUDAAAAAA==&#10;">
                  <v:fill on="f" focussize="0,0"/>
                  <v:stroke weight="1pt" color="#0C0EDD" joinstyle="round"/>
                  <v:imagedata o:title=""/>
                  <o:lock v:ext="edit" aspectratio="f"/>
                </v:rect>
                <v:shape id="_x0000_s1026" o:spid="_x0000_s1026" o:spt="202" type="#_x0000_t202" style="position:absolute;left:9313;top:1026188;height:1113;width:2489;" filled="f" stroked="f" coordsize="21600,21600" o:gfxdata="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Sn8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02A9D749">
                        <w:pPr>
                          <w:spacing w:line="240" w:lineRule="auto"/>
                          <w:ind w:firstLine="0" w:firstLineChars="0"/>
                          <w:rPr>
                            <w:b/>
                            <w:bCs/>
                            <w:sz w:val="21"/>
                            <w:szCs w:val="21"/>
                          </w:rPr>
                        </w:pPr>
                        <w:r>
                          <w:rPr>
                            <w:rFonts w:hint="eastAsia"/>
                            <w:b/>
                            <w:bCs/>
                            <w:sz w:val="21"/>
                            <w:szCs w:val="21"/>
                          </w:rPr>
                          <w:t>茅栗铺，南，300~500m，约20户</w:t>
                        </w:r>
                      </w:p>
                    </w:txbxContent>
                  </v:textbox>
                </v:shape>
                <v:shape id="_x0000_s1026" o:spid="_x0000_s1026" o:spt="202" type="#_x0000_t202" style="position:absolute;left:10282;top:1022611;height:1113;width:2489;" filled="f" stroked="f" coordsize="21600,21600" o:gfxdata="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mOF6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786D68B1">
                        <w:pPr>
                          <w:spacing w:line="240" w:lineRule="auto"/>
                          <w:ind w:firstLine="0" w:firstLineChars="0"/>
                          <w:rPr>
                            <w:b/>
                            <w:bCs/>
                            <w:sz w:val="21"/>
                            <w:szCs w:val="21"/>
                          </w:rPr>
                        </w:pPr>
                        <w:r>
                          <w:rPr>
                            <w:rFonts w:hint="eastAsia"/>
                            <w:b/>
                            <w:bCs/>
                            <w:sz w:val="21"/>
                            <w:szCs w:val="21"/>
                          </w:rPr>
                          <w:t>胡家村，东北，180~500m，约50户</w:t>
                        </w:r>
                      </w:p>
                    </w:txbxContent>
                  </v:textbox>
                </v:shape>
                <v:shape id="_x0000_s1026" o:spid="_x0000_s1026" o:spt="3" type="#_x0000_t3" style="position:absolute;left:4777;top:1027328;height:219;width:230;v-text-anchor:middle;" filled="f" stroked="t" coordsize="21600,21600" o:gfxdata="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iUExbsAAADb&#10;AAAADwAAAAAAAAABACAAAAAiAAAAZHJzL2Rvd25yZXYueG1sUEsBAhQAFAAAAAgAh07iQDMvBZ47&#10;AAAAOQAAABAAAAAAAAAAAQAgAAAACgEAAGRycy9zaGFwZXhtbC54bWxQSwUGAAAAAAYABgBbAQAA&#10;tAMAAAAA&#10;">
                  <v:fill on="f" focussize="0,0"/>
                  <v:stroke weight="1pt" color="#FF0000 [2404]" miterlimit="8" joinstyle="miter"/>
                  <v:imagedata o:title=""/>
                  <o:lock v:ext="edit" aspectratio="f"/>
                </v:shape>
              </v:group>
            </w:pict>
          </mc:Fallback>
        </mc:AlternateContent>
      </w:r>
      <w:r>
        <w:drawing>
          <wp:inline distT="0" distB="0" distL="114300" distR="114300">
            <wp:extent cx="6641465" cy="5147310"/>
            <wp:effectExtent l="0" t="0" r="6985" b="15240"/>
            <wp:docPr id="3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
                    <pic:cNvPicPr>
                      <a:picLocks noChangeAspect="1"/>
                    </pic:cNvPicPr>
                  </pic:nvPicPr>
                  <pic:blipFill>
                    <a:blip r:embed="rId31"/>
                    <a:stretch>
                      <a:fillRect/>
                    </a:stretch>
                  </pic:blipFill>
                  <pic:spPr>
                    <a:xfrm>
                      <a:off x="0" y="0"/>
                      <a:ext cx="6641465" cy="5147310"/>
                    </a:xfrm>
                    <a:prstGeom prst="rect">
                      <a:avLst/>
                    </a:prstGeom>
                    <a:noFill/>
                    <a:ln>
                      <a:noFill/>
                    </a:ln>
                  </pic:spPr>
                </pic:pic>
              </a:graphicData>
            </a:graphic>
          </wp:inline>
        </w:drawing>
      </w:r>
    </w:p>
    <w:p w14:paraId="3578799A">
      <w:pPr>
        <w:pStyle w:val="2"/>
        <w:jc w:val="both"/>
      </w:pPr>
      <w:bookmarkStart w:id="20" w:name="_Toc14329"/>
      <w:r>
        <w:t>附图</w:t>
      </w:r>
      <w:r>
        <w:rPr>
          <w:rFonts w:hint="eastAsia"/>
        </w:rPr>
        <w:t>3 厂区平面布局图</w:t>
      </w:r>
      <w:bookmarkEnd w:id="20"/>
    </w:p>
    <w:p w14:paraId="554F6850">
      <w:pPr>
        <w:ind w:firstLine="0" w:firstLineChars="0"/>
        <w:jc w:val="center"/>
      </w:pPr>
      <w:r>
        <w:drawing>
          <wp:inline distT="0" distB="0" distL="114300" distR="114300">
            <wp:extent cx="8208010" cy="4636135"/>
            <wp:effectExtent l="0" t="0" r="2540" b="12065"/>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r:embed="rId32"/>
                    <a:srcRect l="2262" t="8916" r="10864" b="19216"/>
                    <a:stretch>
                      <a:fillRect/>
                    </a:stretch>
                  </pic:blipFill>
                  <pic:spPr>
                    <a:xfrm>
                      <a:off x="0" y="0"/>
                      <a:ext cx="8208010" cy="4636135"/>
                    </a:xfrm>
                    <a:prstGeom prst="rect">
                      <a:avLst/>
                    </a:prstGeom>
                    <a:noFill/>
                    <a:ln>
                      <a:noFill/>
                    </a:ln>
                  </pic:spPr>
                </pic:pic>
              </a:graphicData>
            </a:graphic>
          </wp:inline>
        </w:drawing>
      </w:r>
      <w:r>
        <w:rPr>
          <w:sz w:val="24"/>
        </w:rPr>
        <mc:AlternateContent>
          <mc:Choice Requires="wpg">
            <w:drawing>
              <wp:anchor distT="0" distB="0" distL="114300" distR="114300" simplePos="0" relativeHeight="251666432" behindDoc="0" locked="0" layoutInCell="1" allowOverlap="1">
                <wp:simplePos x="0" y="0"/>
                <wp:positionH relativeFrom="column">
                  <wp:posOffset>3811270</wp:posOffset>
                </wp:positionH>
                <wp:positionV relativeFrom="paragraph">
                  <wp:posOffset>24130</wp:posOffset>
                </wp:positionV>
                <wp:extent cx="4119245" cy="4678680"/>
                <wp:effectExtent l="0" t="0" r="52705" b="0"/>
                <wp:wrapNone/>
                <wp:docPr id="17" name="组合 17"/>
                <wp:cNvGraphicFramePr/>
                <a:graphic xmlns:a="http://schemas.openxmlformats.org/drawingml/2006/main">
                  <a:graphicData uri="http://schemas.microsoft.com/office/word/2010/wordprocessingGroup">
                    <wpg:wgp>
                      <wpg:cNvGrpSpPr/>
                      <wpg:grpSpPr>
                        <a:xfrm>
                          <a:off x="0" y="0"/>
                          <a:ext cx="4119245" cy="4678680"/>
                          <a:chOff x="8088" y="1100498"/>
                          <a:chExt cx="6487" cy="7368"/>
                        </a:xfrm>
                      </wpg:grpSpPr>
                      <wps:wsp>
                        <wps:cNvPr id="111" name="文本框 111"/>
                        <wps:cNvSpPr txBox="1"/>
                        <wps:spPr>
                          <a:xfrm>
                            <a:off x="8828" y="1100498"/>
                            <a:ext cx="1614" cy="59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B88939">
                              <w:pPr>
                                <w:ind w:firstLine="0" w:firstLineChars="0"/>
                                <w:rPr>
                                  <w:color w:val="FF0000"/>
                                  <w:sz w:val="18"/>
                                  <w:szCs w:val="18"/>
                                </w:rPr>
                              </w:pPr>
                              <w:r>
                                <w:rPr>
                                  <w:rFonts w:hint="eastAsia"/>
                                  <w:color w:val="FF0000"/>
                                  <w:sz w:val="18"/>
                                  <w:szCs w:val="18"/>
                                </w:rPr>
                                <w:t>沉淀池</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 name="椭圆 15"/>
                        <wps:cNvSpPr/>
                        <wps:spPr>
                          <a:xfrm>
                            <a:off x="10041" y="1107486"/>
                            <a:ext cx="162" cy="185"/>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1" name="文本框 41"/>
                        <wps:cNvSpPr txBox="1"/>
                        <wps:spPr>
                          <a:xfrm>
                            <a:off x="10253" y="1107292"/>
                            <a:ext cx="1639" cy="5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637E86">
                              <w:pPr>
                                <w:ind w:firstLine="0" w:firstLineChars="0"/>
                                <w:rPr>
                                  <w:color w:val="FF0000"/>
                                </w:rPr>
                              </w:pPr>
                              <w:r>
                                <w:rPr>
                                  <w:rFonts w:hint="eastAsia"/>
                                  <w:color w:val="FF0000"/>
                                </w:rPr>
                                <w:t>DA001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矩形 42"/>
                        <wps:cNvSpPr/>
                        <wps:spPr>
                          <a:xfrm>
                            <a:off x="8986" y="1100616"/>
                            <a:ext cx="553" cy="334"/>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45" name="图片 20" descr="file:///C:\Users\Administrator\Documents\WXWork\1688853966596453\Cache\Image\2021-12\企业微信截图_16397105907790.png"/>
                          <pic:cNvPicPr>
                            <a:picLocks noChangeAspect="1"/>
                          </pic:cNvPicPr>
                        </pic:nvPicPr>
                        <pic:blipFill>
                          <a:blip r:embed="rId29" r:link="rId30"/>
                          <a:stretch>
                            <a:fillRect/>
                          </a:stretch>
                        </pic:blipFill>
                        <pic:spPr>
                          <a:xfrm rot="4500000">
                            <a:off x="13707" y="1101237"/>
                            <a:ext cx="597" cy="1141"/>
                          </a:xfrm>
                          <a:prstGeom prst="rect">
                            <a:avLst/>
                          </a:prstGeom>
                          <a:noFill/>
                          <a:ln>
                            <a:noFill/>
                          </a:ln>
                        </pic:spPr>
                      </pic:pic>
                      <wps:wsp>
                        <wps:cNvPr id="13" name="矩形 13"/>
                        <wps:cNvSpPr/>
                        <wps:spPr>
                          <a:xfrm>
                            <a:off x="8326" y="1104617"/>
                            <a:ext cx="220" cy="162"/>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 name="文本框 14"/>
                        <wps:cNvSpPr txBox="1"/>
                        <wps:spPr>
                          <a:xfrm>
                            <a:off x="8088" y="1104361"/>
                            <a:ext cx="876" cy="59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9A0B19">
                              <w:pPr>
                                <w:ind w:firstLine="0" w:firstLineChars="0"/>
                                <w:rPr>
                                  <w:color w:val="FF0000"/>
                                  <w:sz w:val="18"/>
                                  <w:szCs w:val="18"/>
                                </w:rPr>
                              </w:pPr>
                              <w:r>
                                <w:rPr>
                                  <w:rFonts w:hint="eastAsia"/>
                                  <w:color w:val="FF0000"/>
                                  <w:sz w:val="18"/>
                                  <w:szCs w:val="18"/>
                                  <w:lang w:val="en-US" w:eastAsia="zh-CN"/>
                                </w:rPr>
                                <w:t>隔油</w:t>
                              </w:r>
                              <w:r>
                                <w:rPr>
                                  <w:rFonts w:hint="eastAsia"/>
                                  <w:color w:val="FF0000"/>
                                  <w:sz w:val="18"/>
                                  <w:szCs w:val="18"/>
                                </w:rPr>
                                <w:t>池</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300.1pt;margin-top:1.9pt;height:368.4pt;width:324.35pt;z-index:251666432;mso-width-relative:page;mso-height-relative:page;" coordorigin="8088,1100498" coordsize="6487,7368" o:gfxdata="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">
                <o:lock v:ext="edit" aspectratio="f"/>
                <v:shape id="_x0000_s1026" o:spid="_x0000_s1026" o:spt="202" type="#_x0000_t202" style="position:absolute;left:8828;top:1100498;height:598;width:1614;" filled="f" stroked="f" coordsize="21600,21600" o:gfxdata="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V8+yL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7EB88939">
                        <w:pPr>
                          <w:ind w:firstLine="0" w:firstLineChars="0"/>
                          <w:rPr>
                            <w:color w:val="FF0000"/>
                            <w:sz w:val="18"/>
                            <w:szCs w:val="18"/>
                          </w:rPr>
                        </w:pPr>
                        <w:r>
                          <w:rPr>
                            <w:rFonts w:hint="eastAsia"/>
                            <w:color w:val="FF0000"/>
                            <w:sz w:val="18"/>
                            <w:szCs w:val="18"/>
                          </w:rPr>
                          <w:t>沉淀池</w:t>
                        </w:r>
                      </w:p>
                    </w:txbxContent>
                  </v:textbox>
                </v:shape>
                <v:shape id="_x0000_s1026" o:spid="_x0000_s1026" o:spt="3" type="#_x0000_t3" style="position:absolute;left:10041;top:1107486;height:185;width:162;v-text-anchor:middle;" fillcolor="#FF0000" filled="t" stroked="t" coordsize="21600,21600" o:gfxdata="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cT0NugAAANsA&#10;AAAPAAAAAAAAAAEAIAAAACIAAABkcnMvZG93bnJldi54bWxQSwECFAAUAAAACACHTuJAMy8FnjsA&#10;AAA5AAAAEAAAAAAAAAABACAAAAAJAQAAZHJzL3NoYXBleG1sLnhtbFBLBQYAAAAABgAGAFsBAACz&#10;AwAAAAA=&#10;">
                  <v:fill on="t" focussize="0,0"/>
                  <v:stroke weight="1pt" color="#FF0000 [2404]" miterlimit="8" joinstyle="miter"/>
                  <v:imagedata o:title=""/>
                  <o:lock v:ext="edit" aspectratio="f"/>
                </v:shape>
                <v:shape id="_x0000_s1026" o:spid="_x0000_s1026" o:spt="202" type="#_x0000_t202" style="position:absolute;left:10253;top:1107292;height:575;width:1639;" filled="f" stroked="f" coordsize="21600,21600" o:gfxdata="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9vDBr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25637E86">
                        <w:pPr>
                          <w:ind w:firstLine="0" w:firstLineChars="0"/>
                          <w:rPr>
                            <w:color w:val="FF0000"/>
                          </w:rPr>
                        </w:pPr>
                        <w:r>
                          <w:rPr>
                            <w:rFonts w:hint="eastAsia"/>
                            <w:color w:val="FF0000"/>
                          </w:rPr>
                          <w:t>DA001</w:t>
                        </w:r>
                      </w:p>
                    </w:txbxContent>
                  </v:textbox>
                </v:shape>
                <v:rect id="_x0000_s1026" o:spid="_x0000_s1026" o:spt="1" style="position:absolute;left:8986;top:1100616;height:334;width:553;v-text-anchor:middle;" filled="f" stroked="t" coordsize="21600,21600" o:gfxdata="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YqDxvQAA&#10;ANsAAAAPAAAAAAAAAAEAIAAAACIAAABkcnMvZG93bnJldi54bWxQSwECFAAUAAAACACHTuJAMy8F&#10;njsAAAA5AAAAEAAAAAAAAAABACAAAAAMAQAAZHJzL3NoYXBleG1sLnhtbFBLBQYAAAAABgAGAFsB&#10;AAC2AwAAAAA=&#10;">
                  <v:fill on="f" focussize="0,0"/>
                  <v:stroke weight="1pt" color="#FF0000 [2404]" miterlimit="8" joinstyle="miter"/>
                  <v:imagedata o:title=""/>
                  <o:lock v:ext="edit" aspectratio="f"/>
                </v:rect>
                <v:shape id="图片 20" o:spid="_x0000_s1026" o:spt="75" alt="file:///C:\Users\Administrator\Documents\WXWork\1688853966596453\Cache\Image\2021-12\企业微信截图_16397105907790.png" type="#_x0000_t75" style="position:absolute;left:13707;top:1101237;height:1141;width:597;rotation:4915200f;" filled="f" o:preferrelative="t" stroked="f" coordsize="21600,21600" o:gfxdata="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cmOyu8AAAA&#10;2wAAAA8AAAAAAAAAAQAgAAAAIgAAAGRycy9kb3ducmV2LnhtbFBLAQIUABQAAAAIAIdO4kAzLwWe&#10;OwAAADkAAAAQAAAAAAAAAAEAIAAAAAsBAABkcnMvc2hhcGV4bWwueG1sUEsFBgAAAAAGAAYAWwEA&#10;ALUDAAAAAA==&#10;">
                  <v:fill on="f" focussize="0,0"/>
                  <v:stroke on="f"/>
                  <v:imagedata r:id="rId29" r:href="rId30" o:title=""/>
                  <o:lock v:ext="edit" aspectratio="t"/>
                </v:shape>
                <v:rect id="_x0000_s1026" o:spid="_x0000_s1026" o:spt="1" style="position:absolute;left:8326;top:1104617;height:162;width:220;v-text-anchor:middle;" filled="f" stroked="t" coordsize="21600,21600" o:gfxdata="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J0qd7sAAADb&#10;AAAADwAAAAAAAAABACAAAAAiAAAAZHJzL2Rvd25yZXYueG1sUEsBAhQAFAAAAAgAh07iQDMvBZ47&#10;AAAAOQAAABAAAAAAAAAAAQAgAAAACgEAAGRycy9zaGFwZXhtbC54bWxQSwUGAAAAAAYABgBbAQAA&#10;tAMAAAAA&#10;">
                  <v:fill on="f" focussize="0,0"/>
                  <v:stroke weight="1pt" color="#FF0000 [2404]" miterlimit="8" joinstyle="miter"/>
                  <v:imagedata o:title=""/>
                  <o:lock v:ext="edit" aspectratio="f"/>
                </v:rect>
                <v:shape id="_x0000_s1026" o:spid="_x0000_s1026" o:spt="202" type="#_x0000_t202" style="position:absolute;left:8088;top:1104361;height:598;width:876;" filled="f" stroked="f" coordsize="21600,21600" o:gfxdata="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QfT4O8AAAA&#10;2w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14:paraId="289A0B19">
                        <w:pPr>
                          <w:ind w:firstLine="0" w:firstLineChars="0"/>
                          <w:rPr>
                            <w:color w:val="FF0000"/>
                            <w:sz w:val="18"/>
                            <w:szCs w:val="18"/>
                          </w:rPr>
                        </w:pPr>
                        <w:r>
                          <w:rPr>
                            <w:rFonts w:hint="eastAsia"/>
                            <w:color w:val="FF0000"/>
                            <w:sz w:val="18"/>
                            <w:szCs w:val="18"/>
                            <w:lang w:val="en-US" w:eastAsia="zh-CN"/>
                          </w:rPr>
                          <w:t>隔油</w:t>
                        </w:r>
                        <w:r>
                          <w:rPr>
                            <w:rFonts w:hint="eastAsia"/>
                            <w:color w:val="FF0000"/>
                            <w:sz w:val="18"/>
                            <w:szCs w:val="18"/>
                          </w:rPr>
                          <w:t>池</w:t>
                        </w:r>
                      </w:p>
                    </w:txbxContent>
                  </v:textbox>
                </v:shape>
              </v:group>
            </w:pict>
          </mc:Fallback>
        </mc:AlternateContent>
      </w:r>
      <w:bookmarkStart w:id="21" w:name="_Toc10616"/>
    </w:p>
    <w:p w14:paraId="49D84ECE">
      <w:pPr>
        <w:ind w:left="0" w:leftChars="0" w:firstLine="0" w:firstLineChars="0"/>
      </w:pPr>
    </w:p>
    <w:bookmarkEnd w:id="21"/>
    <w:p w14:paraId="479D3C19">
      <w:pPr>
        <w:ind w:firstLine="0" w:firstLineChars="0"/>
      </w:pPr>
    </w:p>
    <w:sectPr>
      <w:pgSz w:w="16838" w:h="11906" w:orient="landscape"/>
      <w:pgMar w:top="1440" w:right="1803" w:bottom="1440" w:left="1803" w:header="851" w:footer="992" w:gutter="0"/>
      <w:cols w:space="0" w:num="1"/>
      <w:docGrid w:type="lines" w:linePitch="334"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29F1B">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E8DCC">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48F47">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A18C5">
    <w:pPr>
      <w:pStyle w:val="7"/>
      <w:ind w:firstLine="36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3BF45F">
                          <w:pPr>
                            <w:pStyle w:val="7"/>
                            <w:ind w:firstLine="360"/>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x+U5ssAgAAV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H5TmywCAABXBAAADgAAAAAAAAABACAAAAAfAQAAZHJzL2Uyb0RvYy54bWxQSwUGAAAAAAYA&#10;BgBZAQAAvQUAAAAA&#10;">
              <v:fill on="f" focussize="0,0"/>
              <v:stroke on="f" weight="0.5pt"/>
              <v:imagedata o:title=""/>
              <o:lock v:ext="edit" aspectratio="f"/>
              <v:textbox inset="0mm,0mm,0mm,0mm" style="mso-fit-shape-to-text:t;">
                <w:txbxContent>
                  <w:p w14:paraId="273BF45F">
                    <w:pPr>
                      <w:pStyle w:val="7"/>
                      <w:ind w:firstLine="360"/>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58569">
    <w:pPr>
      <w:pStyle w:val="7"/>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6DD944">
                          <w:pPr>
                            <w:pStyle w:val="7"/>
                            <w:ind w:firstLine="360"/>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16DD944">
                    <w:pPr>
                      <w:pStyle w:val="7"/>
                      <w:ind w:firstLine="360"/>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1BAC6">
    <w:pPr>
      <w:pStyle w:val="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5EE91">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6B6CF">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BCF7C6"/>
    <w:multiLevelType w:val="singleLevel"/>
    <w:tmpl w:val="FBBCF7C6"/>
    <w:lvl w:ilvl="0" w:tentative="0">
      <w:start w:val="1"/>
      <w:numFmt w:val="decimal"/>
      <w:suff w:val="nothing"/>
      <w:lvlText w:val="%1、"/>
      <w:lvlJc w:val="left"/>
    </w:lvl>
  </w:abstractNum>
  <w:abstractNum w:abstractNumId="1">
    <w:nsid w:val="2250D2AC"/>
    <w:multiLevelType w:val="singleLevel"/>
    <w:tmpl w:val="2250D2AC"/>
    <w:lvl w:ilvl="0" w:tentative="0">
      <w:start w:val="7"/>
      <w:numFmt w:val="decimal"/>
      <w:suff w:val="nothing"/>
      <w:lvlText w:val="%1、"/>
      <w:lvlJc w:val="left"/>
    </w:lvl>
  </w:abstractNum>
  <w:abstractNum w:abstractNumId="2">
    <w:nsid w:val="71001F7E"/>
    <w:multiLevelType w:val="singleLevel"/>
    <w:tmpl w:val="71001F7E"/>
    <w:lvl w:ilvl="0" w:tentative="0">
      <w:start w:val="3"/>
      <w:numFmt w:val="chineseCounting"/>
      <w:suff w:val="nothing"/>
      <w:lvlText w:val="%1、"/>
      <w:lvlJc w:val="left"/>
      <w:rPr>
        <w:rFonts w:hint="eastAsia"/>
      </w:rPr>
    </w:lvl>
  </w:abstractNum>
  <w:abstractNum w:abstractNumId="3">
    <w:nsid w:val="7AD94DBD"/>
    <w:multiLevelType w:val="singleLevel"/>
    <w:tmpl w:val="7AD94DBD"/>
    <w:lvl w:ilvl="0" w:tentative="0">
      <w:start w:val="1"/>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67"/>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yNWNjYmVlNzVhYzJmMDhkYTM3MjVlMzA5M2UwOWIifQ=="/>
  </w:docVars>
  <w:rsids>
    <w:rsidRoot w:val="5F7E1332"/>
    <w:rsid w:val="000534D0"/>
    <w:rsid w:val="000A3B03"/>
    <w:rsid w:val="000E0F23"/>
    <w:rsid w:val="000F7C1C"/>
    <w:rsid w:val="003F4382"/>
    <w:rsid w:val="00437396"/>
    <w:rsid w:val="004C2EFD"/>
    <w:rsid w:val="004F4C42"/>
    <w:rsid w:val="005C6ED4"/>
    <w:rsid w:val="006911F9"/>
    <w:rsid w:val="006A0052"/>
    <w:rsid w:val="007A3C5C"/>
    <w:rsid w:val="007B034D"/>
    <w:rsid w:val="008F11DF"/>
    <w:rsid w:val="009364BC"/>
    <w:rsid w:val="00AD77D4"/>
    <w:rsid w:val="00B350EA"/>
    <w:rsid w:val="00D25665"/>
    <w:rsid w:val="00E00F73"/>
    <w:rsid w:val="00FE2C62"/>
    <w:rsid w:val="0105508B"/>
    <w:rsid w:val="011028B3"/>
    <w:rsid w:val="011C0325"/>
    <w:rsid w:val="011D6DA8"/>
    <w:rsid w:val="015D0D5E"/>
    <w:rsid w:val="017641DF"/>
    <w:rsid w:val="01840850"/>
    <w:rsid w:val="0184241E"/>
    <w:rsid w:val="01BC5F25"/>
    <w:rsid w:val="01D4575B"/>
    <w:rsid w:val="01D85C9C"/>
    <w:rsid w:val="01EA03A9"/>
    <w:rsid w:val="01FE5971"/>
    <w:rsid w:val="020C179E"/>
    <w:rsid w:val="02133E97"/>
    <w:rsid w:val="02240524"/>
    <w:rsid w:val="02426589"/>
    <w:rsid w:val="02494536"/>
    <w:rsid w:val="02520442"/>
    <w:rsid w:val="025E052D"/>
    <w:rsid w:val="027017B7"/>
    <w:rsid w:val="02827732"/>
    <w:rsid w:val="02832A46"/>
    <w:rsid w:val="02A14EBF"/>
    <w:rsid w:val="02AF2F00"/>
    <w:rsid w:val="02D50705"/>
    <w:rsid w:val="02E81F67"/>
    <w:rsid w:val="02F8758C"/>
    <w:rsid w:val="02FC0103"/>
    <w:rsid w:val="030F6088"/>
    <w:rsid w:val="03104CE8"/>
    <w:rsid w:val="031D0406"/>
    <w:rsid w:val="032558AB"/>
    <w:rsid w:val="0337738D"/>
    <w:rsid w:val="03391357"/>
    <w:rsid w:val="034872E6"/>
    <w:rsid w:val="034B5B24"/>
    <w:rsid w:val="034D5288"/>
    <w:rsid w:val="035A4CAD"/>
    <w:rsid w:val="035D32DE"/>
    <w:rsid w:val="03647119"/>
    <w:rsid w:val="036A00E5"/>
    <w:rsid w:val="03737B70"/>
    <w:rsid w:val="03AA0E0C"/>
    <w:rsid w:val="03AF445E"/>
    <w:rsid w:val="03BD4AF9"/>
    <w:rsid w:val="03E00877"/>
    <w:rsid w:val="03F04AFA"/>
    <w:rsid w:val="03FA3578"/>
    <w:rsid w:val="04002526"/>
    <w:rsid w:val="04114082"/>
    <w:rsid w:val="0414147C"/>
    <w:rsid w:val="041D6583"/>
    <w:rsid w:val="044A4D98"/>
    <w:rsid w:val="04553F6E"/>
    <w:rsid w:val="047B60DC"/>
    <w:rsid w:val="04842AA6"/>
    <w:rsid w:val="048B7990"/>
    <w:rsid w:val="04A32010"/>
    <w:rsid w:val="04B35E06"/>
    <w:rsid w:val="04BC0CE2"/>
    <w:rsid w:val="04D84BA6"/>
    <w:rsid w:val="050D36BF"/>
    <w:rsid w:val="050E2B4E"/>
    <w:rsid w:val="051E3087"/>
    <w:rsid w:val="052B16AF"/>
    <w:rsid w:val="05323B46"/>
    <w:rsid w:val="054115C5"/>
    <w:rsid w:val="0544739A"/>
    <w:rsid w:val="056445DF"/>
    <w:rsid w:val="056735C4"/>
    <w:rsid w:val="056761C0"/>
    <w:rsid w:val="057348B8"/>
    <w:rsid w:val="058A40EC"/>
    <w:rsid w:val="05922FA0"/>
    <w:rsid w:val="059C3900"/>
    <w:rsid w:val="05C217CC"/>
    <w:rsid w:val="05C265A8"/>
    <w:rsid w:val="05E653C4"/>
    <w:rsid w:val="05EF03F3"/>
    <w:rsid w:val="05F20305"/>
    <w:rsid w:val="05F66FD8"/>
    <w:rsid w:val="05F70902"/>
    <w:rsid w:val="061C5400"/>
    <w:rsid w:val="06252E2F"/>
    <w:rsid w:val="06475B39"/>
    <w:rsid w:val="064A0656"/>
    <w:rsid w:val="065331DA"/>
    <w:rsid w:val="066E1982"/>
    <w:rsid w:val="0687285C"/>
    <w:rsid w:val="068F79BB"/>
    <w:rsid w:val="06977A52"/>
    <w:rsid w:val="06A109A1"/>
    <w:rsid w:val="06A27213"/>
    <w:rsid w:val="06BA630B"/>
    <w:rsid w:val="06C228AB"/>
    <w:rsid w:val="06CC42EB"/>
    <w:rsid w:val="06EA3979"/>
    <w:rsid w:val="06EA6920"/>
    <w:rsid w:val="071015E4"/>
    <w:rsid w:val="071F2612"/>
    <w:rsid w:val="073B57B2"/>
    <w:rsid w:val="0758145B"/>
    <w:rsid w:val="075B7548"/>
    <w:rsid w:val="07860F6D"/>
    <w:rsid w:val="07916C38"/>
    <w:rsid w:val="07BA7F4B"/>
    <w:rsid w:val="07CF7529"/>
    <w:rsid w:val="081B4976"/>
    <w:rsid w:val="08236AD2"/>
    <w:rsid w:val="08354556"/>
    <w:rsid w:val="08393BA7"/>
    <w:rsid w:val="083B49A8"/>
    <w:rsid w:val="084C4F98"/>
    <w:rsid w:val="086527A2"/>
    <w:rsid w:val="088272FC"/>
    <w:rsid w:val="088E3EF3"/>
    <w:rsid w:val="089239A0"/>
    <w:rsid w:val="08B4450F"/>
    <w:rsid w:val="08C00524"/>
    <w:rsid w:val="08C9422C"/>
    <w:rsid w:val="08DF426D"/>
    <w:rsid w:val="09041F23"/>
    <w:rsid w:val="0905407E"/>
    <w:rsid w:val="09114527"/>
    <w:rsid w:val="092621BD"/>
    <w:rsid w:val="094121B0"/>
    <w:rsid w:val="09423D0E"/>
    <w:rsid w:val="0955056D"/>
    <w:rsid w:val="096A1BAA"/>
    <w:rsid w:val="097D7EA9"/>
    <w:rsid w:val="097E6C5B"/>
    <w:rsid w:val="09810AA5"/>
    <w:rsid w:val="09880946"/>
    <w:rsid w:val="09B41737"/>
    <w:rsid w:val="09BD0D3B"/>
    <w:rsid w:val="09CE115A"/>
    <w:rsid w:val="09D34884"/>
    <w:rsid w:val="09D84692"/>
    <w:rsid w:val="0A0107ED"/>
    <w:rsid w:val="0A116BA1"/>
    <w:rsid w:val="0A225CB5"/>
    <w:rsid w:val="0A2B4726"/>
    <w:rsid w:val="0A33524B"/>
    <w:rsid w:val="0A467527"/>
    <w:rsid w:val="0A48552D"/>
    <w:rsid w:val="0A495342"/>
    <w:rsid w:val="0A5366A3"/>
    <w:rsid w:val="0A5B7DD0"/>
    <w:rsid w:val="0A5D22F3"/>
    <w:rsid w:val="0A5F7D48"/>
    <w:rsid w:val="0A6041E1"/>
    <w:rsid w:val="0A764688"/>
    <w:rsid w:val="0A891319"/>
    <w:rsid w:val="0A943440"/>
    <w:rsid w:val="0AEE75C3"/>
    <w:rsid w:val="0B0540B1"/>
    <w:rsid w:val="0B0577DC"/>
    <w:rsid w:val="0B1352B7"/>
    <w:rsid w:val="0B1C7EC5"/>
    <w:rsid w:val="0B290A73"/>
    <w:rsid w:val="0B374D82"/>
    <w:rsid w:val="0B421C91"/>
    <w:rsid w:val="0B4831A2"/>
    <w:rsid w:val="0B507DED"/>
    <w:rsid w:val="0B510E78"/>
    <w:rsid w:val="0B516729"/>
    <w:rsid w:val="0B6700E1"/>
    <w:rsid w:val="0B6727D9"/>
    <w:rsid w:val="0B774DF2"/>
    <w:rsid w:val="0B8909A2"/>
    <w:rsid w:val="0B9263C7"/>
    <w:rsid w:val="0B97713F"/>
    <w:rsid w:val="0B9C5955"/>
    <w:rsid w:val="0BA10EFE"/>
    <w:rsid w:val="0BA86219"/>
    <w:rsid w:val="0BB7042D"/>
    <w:rsid w:val="0BB9554A"/>
    <w:rsid w:val="0BED7D3A"/>
    <w:rsid w:val="0BF6157C"/>
    <w:rsid w:val="0C263DA4"/>
    <w:rsid w:val="0C3949CC"/>
    <w:rsid w:val="0C3F2B8E"/>
    <w:rsid w:val="0C486E05"/>
    <w:rsid w:val="0C5B0590"/>
    <w:rsid w:val="0C654F6B"/>
    <w:rsid w:val="0C77305A"/>
    <w:rsid w:val="0C851ECC"/>
    <w:rsid w:val="0C9C3D53"/>
    <w:rsid w:val="0CA331A2"/>
    <w:rsid w:val="0CA54E50"/>
    <w:rsid w:val="0CDD08A4"/>
    <w:rsid w:val="0CFD367F"/>
    <w:rsid w:val="0CFE79E5"/>
    <w:rsid w:val="0D0117A2"/>
    <w:rsid w:val="0D1C4C35"/>
    <w:rsid w:val="0D507A05"/>
    <w:rsid w:val="0D5200C9"/>
    <w:rsid w:val="0D611A31"/>
    <w:rsid w:val="0D783CF0"/>
    <w:rsid w:val="0D7E1682"/>
    <w:rsid w:val="0DBA6F5E"/>
    <w:rsid w:val="0DC3019B"/>
    <w:rsid w:val="0DC42165"/>
    <w:rsid w:val="0DCA2386"/>
    <w:rsid w:val="0DCD0521"/>
    <w:rsid w:val="0DD9599C"/>
    <w:rsid w:val="0DF04637"/>
    <w:rsid w:val="0DF45990"/>
    <w:rsid w:val="0E004DA8"/>
    <w:rsid w:val="0E0908A4"/>
    <w:rsid w:val="0E0D1416"/>
    <w:rsid w:val="0E16722B"/>
    <w:rsid w:val="0E175600"/>
    <w:rsid w:val="0E4B63E2"/>
    <w:rsid w:val="0E5C371A"/>
    <w:rsid w:val="0E6F20D1"/>
    <w:rsid w:val="0E7616B1"/>
    <w:rsid w:val="0E7E3E81"/>
    <w:rsid w:val="0E953034"/>
    <w:rsid w:val="0E9C279A"/>
    <w:rsid w:val="0EB21F75"/>
    <w:rsid w:val="0EBA1E4C"/>
    <w:rsid w:val="0ECA193E"/>
    <w:rsid w:val="0ECA22C7"/>
    <w:rsid w:val="0ECE2228"/>
    <w:rsid w:val="0ED5066F"/>
    <w:rsid w:val="0EE214EC"/>
    <w:rsid w:val="0EF72198"/>
    <w:rsid w:val="0F103E49"/>
    <w:rsid w:val="0F1174E8"/>
    <w:rsid w:val="0F186B4C"/>
    <w:rsid w:val="0F32294D"/>
    <w:rsid w:val="0F3427D8"/>
    <w:rsid w:val="0F390A43"/>
    <w:rsid w:val="0F3B1101"/>
    <w:rsid w:val="0F4313D0"/>
    <w:rsid w:val="0F482D80"/>
    <w:rsid w:val="0F4F5A5E"/>
    <w:rsid w:val="0F58315F"/>
    <w:rsid w:val="0F60286C"/>
    <w:rsid w:val="0F681F62"/>
    <w:rsid w:val="0F757FCC"/>
    <w:rsid w:val="0F854CFE"/>
    <w:rsid w:val="0F907D05"/>
    <w:rsid w:val="0F923720"/>
    <w:rsid w:val="0F99704C"/>
    <w:rsid w:val="0F9D2027"/>
    <w:rsid w:val="0FA20284"/>
    <w:rsid w:val="0FA47924"/>
    <w:rsid w:val="0FC85454"/>
    <w:rsid w:val="0FC90344"/>
    <w:rsid w:val="0FD117A2"/>
    <w:rsid w:val="0FDB1233"/>
    <w:rsid w:val="0FF83FE0"/>
    <w:rsid w:val="102858C5"/>
    <w:rsid w:val="102E2A0D"/>
    <w:rsid w:val="10420916"/>
    <w:rsid w:val="10495B60"/>
    <w:rsid w:val="10646867"/>
    <w:rsid w:val="106A0A5C"/>
    <w:rsid w:val="108434DD"/>
    <w:rsid w:val="10882251"/>
    <w:rsid w:val="10AB0662"/>
    <w:rsid w:val="10B93643"/>
    <w:rsid w:val="10F56637"/>
    <w:rsid w:val="10FB43DC"/>
    <w:rsid w:val="1105322F"/>
    <w:rsid w:val="11344420"/>
    <w:rsid w:val="11380B03"/>
    <w:rsid w:val="113969C6"/>
    <w:rsid w:val="113B74BE"/>
    <w:rsid w:val="115E2241"/>
    <w:rsid w:val="116847DF"/>
    <w:rsid w:val="116F17EB"/>
    <w:rsid w:val="11741071"/>
    <w:rsid w:val="119657EE"/>
    <w:rsid w:val="11AF51D5"/>
    <w:rsid w:val="11C37738"/>
    <w:rsid w:val="11CE72AB"/>
    <w:rsid w:val="11DE7416"/>
    <w:rsid w:val="11DF4918"/>
    <w:rsid w:val="11E26D8A"/>
    <w:rsid w:val="11E67EA6"/>
    <w:rsid w:val="11EA3613"/>
    <w:rsid w:val="11FD5C45"/>
    <w:rsid w:val="124B69B1"/>
    <w:rsid w:val="12553912"/>
    <w:rsid w:val="12592F32"/>
    <w:rsid w:val="126E7DE5"/>
    <w:rsid w:val="12756748"/>
    <w:rsid w:val="12796957"/>
    <w:rsid w:val="12A96A36"/>
    <w:rsid w:val="12D61AC5"/>
    <w:rsid w:val="12DD5DCB"/>
    <w:rsid w:val="12F202E3"/>
    <w:rsid w:val="13021765"/>
    <w:rsid w:val="13055FA2"/>
    <w:rsid w:val="13076D7C"/>
    <w:rsid w:val="13631AD8"/>
    <w:rsid w:val="13794F34"/>
    <w:rsid w:val="138D1297"/>
    <w:rsid w:val="13AC5D60"/>
    <w:rsid w:val="13CB748E"/>
    <w:rsid w:val="13DA09FC"/>
    <w:rsid w:val="13E06287"/>
    <w:rsid w:val="13ED3850"/>
    <w:rsid w:val="13ED66B2"/>
    <w:rsid w:val="13F50CB0"/>
    <w:rsid w:val="140F6F95"/>
    <w:rsid w:val="14186D67"/>
    <w:rsid w:val="141F18B7"/>
    <w:rsid w:val="142D4720"/>
    <w:rsid w:val="142D6727"/>
    <w:rsid w:val="1447741D"/>
    <w:rsid w:val="14515CFB"/>
    <w:rsid w:val="14611720"/>
    <w:rsid w:val="146A104E"/>
    <w:rsid w:val="147527BF"/>
    <w:rsid w:val="14830B50"/>
    <w:rsid w:val="149A2EA0"/>
    <w:rsid w:val="14A44AAD"/>
    <w:rsid w:val="14AA10DA"/>
    <w:rsid w:val="14B60460"/>
    <w:rsid w:val="14D25AD4"/>
    <w:rsid w:val="14D66C67"/>
    <w:rsid w:val="14D94748"/>
    <w:rsid w:val="14E16399"/>
    <w:rsid w:val="14F61D8B"/>
    <w:rsid w:val="150B4BAC"/>
    <w:rsid w:val="150D68C3"/>
    <w:rsid w:val="152D0349"/>
    <w:rsid w:val="15560812"/>
    <w:rsid w:val="15735EBE"/>
    <w:rsid w:val="157A2AC8"/>
    <w:rsid w:val="15837882"/>
    <w:rsid w:val="15864176"/>
    <w:rsid w:val="15884E79"/>
    <w:rsid w:val="158912B7"/>
    <w:rsid w:val="15997A33"/>
    <w:rsid w:val="15A61B3B"/>
    <w:rsid w:val="15A811A8"/>
    <w:rsid w:val="15BD1974"/>
    <w:rsid w:val="15CE294C"/>
    <w:rsid w:val="15DF5CFC"/>
    <w:rsid w:val="1609726C"/>
    <w:rsid w:val="16347B72"/>
    <w:rsid w:val="163A1D57"/>
    <w:rsid w:val="164E3C95"/>
    <w:rsid w:val="16596E92"/>
    <w:rsid w:val="165D7773"/>
    <w:rsid w:val="166409AA"/>
    <w:rsid w:val="16660238"/>
    <w:rsid w:val="16691AFB"/>
    <w:rsid w:val="16757794"/>
    <w:rsid w:val="16774FC1"/>
    <w:rsid w:val="167900DB"/>
    <w:rsid w:val="16873D30"/>
    <w:rsid w:val="168D28EB"/>
    <w:rsid w:val="16930926"/>
    <w:rsid w:val="169A3C25"/>
    <w:rsid w:val="169F376F"/>
    <w:rsid w:val="16AB688D"/>
    <w:rsid w:val="16C535C3"/>
    <w:rsid w:val="16CB2CD0"/>
    <w:rsid w:val="16CE0847"/>
    <w:rsid w:val="16DB0C82"/>
    <w:rsid w:val="16FA2AF2"/>
    <w:rsid w:val="16FC296F"/>
    <w:rsid w:val="16FF459B"/>
    <w:rsid w:val="170D31EA"/>
    <w:rsid w:val="17120E59"/>
    <w:rsid w:val="172F1D6D"/>
    <w:rsid w:val="17312274"/>
    <w:rsid w:val="173C5E4F"/>
    <w:rsid w:val="17594D48"/>
    <w:rsid w:val="175E49A0"/>
    <w:rsid w:val="1763479D"/>
    <w:rsid w:val="1766520F"/>
    <w:rsid w:val="17742B91"/>
    <w:rsid w:val="177F336A"/>
    <w:rsid w:val="178321B2"/>
    <w:rsid w:val="178503CB"/>
    <w:rsid w:val="17C05709"/>
    <w:rsid w:val="17C214C3"/>
    <w:rsid w:val="17CF0B1D"/>
    <w:rsid w:val="17D002B7"/>
    <w:rsid w:val="17D05227"/>
    <w:rsid w:val="17D271A4"/>
    <w:rsid w:val="17D66DF1"/>
    <w:rsid w:val="17D80CE7"/>
    <w:rsid w:val="17E70F2A"/>
    <w:rsid w:val="17F665A1"/>
    <w:rsid w:val="17FE1CAA"/>
    <w:rsid w:val="183604E7"/>
    <w:rsid w:val="18362096"/>
    <w:rsid w:val="183B0290"/>
    <w:rsid w:val="18475E6C"/>
    <w:rsid w:val="184F4096"/>
    <w:rsid w:val="1854313F"/>
    <w:rsid w:val="185C1D1C"/>
    <w:rsid w:val="186C2871"/>
    <w:rsid w:val="187314B2"/>
    <w:rsid w:val="18773511"/>
    <w:rsid w:val="187E20E9"/>
    <w:rsid w:val="188062D0"/>
    <w:rsid w:val="188D7D18"/>
    <w:rsid w:val="18963829"/>
    <w:rsid w:val="189D1475"/>
    <w:rsid w:val="18BB6C9C"/>
    <w:rsid w:val="18D10600"/>
    <w:rsid w:val="18DA1A29"/>
    <w:rsid w:val="18DD7E77"/>
    <w:rsid w:val="18F356AC"/>
    <w:rsid w:val="191E4CF6"/>
    <w:rsid w:val="192E7960"/>
    <w:rsid w:val="197113F3"/>
    <w:rsid w:val="19727C40"/>
    <w:rsid w:val="1977360A"/>
    <w:rsid w:val="19855F00"/>
    <w:rsid w:val="199668F6"/>
    <w:rsid w:val="19987BCA"/>
    <w:rsid w:val="19A76508"/>
    <w:rsid w:val="19B3271D"/>
    <w:rsid w:val="19B45F23"/>
    <w:rsid w:val="19B47496"/>
    <w:rsid w:val="19DB686C"/>
    <w:rsid w:val="19FC0E84"/>
    <w:rsid w:val="1A0A7151"/>
    <w:rsid w:val="1A241497"/>
    <w:rsid w:val="1A442663"/>
    <w:rsid w:val="1A6F1F56"/>
    <w:rsid w:val="1A7F1CED"/>
    <w:rsid w:val="1A9165C6"/>
    <w:rsid w:val="1A93076C"/>
    <w:rsid w:val="1A93534B"/>
    <w:rsid w:val="1A9D32A1"/>
    <w:rsid w:val="1ABC1257"/>
    <w:rsid w:val="1ACA37CD"/>
    <w:rsid w:val="1AD81468"/>
    <w:rsid w:val="1ADA6BAD"/>
    <w:rsid w:val="1ADC62D8"/>
    <w:rsid w:val="1AEE7796"/>
    <w:rsid w:val="1AF074BB"/>
    <w:rsid w:val="1B113107"/>
    <w:rsid w:val="1B162B24"/>
    <w:rsid w:val="1B2F50C2"/>
    <w:rsid w:val="1B344993"/>
    <w:rsid w:val="1B4B4B47"/>
    <w:rsid w:val="1B5872B4"/>
    <w:rsid w:val="1B5910DB"/>
    <w:rsid w:val="1B591161"/>
    <w:rsid w:val="1B5B1E66"/>
    <w:rsid w:val="1B642891"/>
    <w:rsid w:val="1B6D728E"/>
    <w:rsid w:val="1B7724A3"/>
    <w:rsid w:val="1B782A66"/>
    <w:rsid w:val="1B814380"/>
    <w:rsid w:val="1B895475"/>
    <w:rsid w:val="1B9C5D53"/>
    <w:rsid w:val="1BA64F6C"/>
    <w:rsid w:val="1BCB6AA7"/>
    <w:rsid w:val="1BE12CA9"/>
    <w:rsid w:val="1BE16D7A"/>
    <w:rsid w:val="1BF8721B"/>
    <w:rsid w:val="1C004D20"/>
    <w:rsid w:val="1C1764BC"/>
    <w:rsid w:val="1C5D575D"/>
    <w:rsid w:val="1C7132AD"/>
    <w:rsid w:val="1C7A574E"/>
    <w:rsid w:val="1C897E07"/>
    <w:rsid w:val="1CA653B3"/>
    <w:rsid w:val="1CD70E69"/>
    <w:rsid w:val="1CD71815"/>
    <w:rsid w:val="1CD937B8"/>
    <w:rsid w:val="1CDA5E97"/>
    <w:rsid w:val="1CE120D9"/>
    <w:rsid w:val="1CF62125"/>
    <w:rsid w:val="1D143D63"/>
    <w:rsid w:val="1D3A622F"/>
    <w:rsid w:val="1D3C4002"/>
    <w:rsid w:val="1D76400B"/>
    <w:rsid w:val="1D806305"/>
    <w:rsid w:val="1D9D71B6"/>
    <w:rsid w:val="1DCA7323"/>
    <w:rsid w:val="1DCB4E4A"/>
    <w:rsid w:val="1DE657E0"/>
    <w:rsid w:val="1DE7776B"/>
    <w:rsid w:val="1DFC761D"/>
    <w:rsid w:val="1E043040"/>
    <w:rsid w:val="1E236A34"/>
    <w:rsid w:val="1E2F2C87"/>
    <w:rsid w:val="1E5870F4"/>
    <w:rsid w:val="1E652798"/>
    <w:rsid w:val="1E6B1006"/>
    <w:rsid w:val="1E6B6A94"/>
    <w:rsid w:val="1E820F20"/>
    <w:rsid w:val="1E9F4050"/>
    <w:rsid w:val="1EB00322"/>
    <w:rsid w:val="1EB148AD"/>
    <w:rsid w:val="1EDA5344"/>
    <w:rsid w:val="1EF87911"/>
    <w:rsid w:val="1F0C6F32"/>
    <w:rsid w:val="1F374545"/>
    <w:rsid w:val="1F394646"/>
    <w:rsid w:val="1F537DE5"/>
    <w:rsid w:val="1F5A6C90"/>
    <w:rsid w:val="1F613081"/>
    <w:rsid w:val="1F675F90"/>
    <w:rsid w:val="1F6F13CF"/>
    <w:rsid w:val="1F8B1D63"/>
    <w:rsid w:val="1FA3607E"/>
    <w:rsid w:val="1FB90A1C"/>
    <w:rsid w:val="1FE03E2B"/>
    <w:rsid w:val="1FE37A7E"/>
    <w:rsid w:val="1FF14949"/>
    <w:rsid w:val="1FFE1506"/>
    <w:rsid w:val="20080E5C"/>
    <w:rsid w:val="201C09AD"/>
    <w:rsid w:val="201D23A3"/>
    <w:rsid w:val="201E3957"/>
    <w:rsid w:val="203A4B4D"/>
    <w:rsid w:val="20490B12"/>
    <w:rsid w:val="204F1D62"/>
    <w:rsid w:val="205278D1"/>
    <w:rsid w:val="20602E5A"/>
    <w:rsid w:val="2060784B"/>
    <w:rsid w:val="206550E2"/>
    <w:rsid w:val="20661A0C"/>
    <w:rsid w:val="20693422"/>
    <w:rsid w:val="20753213"/>
    <w:rsid w:val="20805EFE"/>
    <w:rsid w:val="20830D63"/>
    <w:rsid w:val="2083210F"/>
    <w:rsid w:val="20D67D8D"/>
    <w:rsid w:val="20DE7DDC"/>
    <w:rsid w:val="20E701EC"/>
    <w:rsid w:val="21113C39"/>
    <w:rsid w:val="212A4048"/>
    <w:rsid w:val="21317460"/>
    <w:rsid w:val="216F7564"/>
    <w:rsid w:val="217C70D1"/>
    <w:rsid w:val="217F6677"/>
    <w:rsid w:val="218246D0"/>
    <w:rsid w:val="218E3BEC"/>
    <w:rsid w:val="21A024BA"/>
    <w:rsid w:val="21AD0AEE"/>
    <w:rsid w:val="21BF7475"/>
    <w:rsid w:val="21C6111D"/>
    <w:rsid w:val="21F10302"/>
    <w:rsid w:val="21F726B1"/>
    <w:rsid w:val="22110035"/>
    <w:rsid w:val="221D4F67"/>
    <w:rsid w:val="2221247E"/>
    <w:rsid w:val="224174B9"/>
    <w:rsid w:val="225720A3"/>
    <w:rsid w:val="22603BFE"/>
    <w:rsid w:val="226D325F"/>
    <w:rsid w:val="228252BC"/>
    <w:rsid w:val="2284238D"/>
    <w:rsid w:val="228A17B0"/>
    <w:rsid w:val="229B303C"/>
    <w:rsid w:val="22CA56D0"/>
    <w:rsid w:val="22DB2627"/>
    <w:rsid w:val="22DF568D"/>
    <w:rsid w:val="22E92FC1"/>
    <w:rsid w:val="22ED46CC"/>
    <w:rsid w:val="23012244"/>
    <w:rsid w:val="230175D1"/>
    <w:rsid w:val="23250AF9"/>
    <w:rsid w:val="23362FDC"/>
    <w:rsid w:val="233C7EDA"/>
    <w:rsid w:val="2351194D"/>
    <w:rsid w:val="236B43DE"/>
    <w:rsid w:val="23737B15"/>
    <w:rsid w:val="23835FEB"/>
    <w:rsid w:val="2388467E"/>
    <w:rsid w:val="23902475"/>
    <w:rsid w:val="23B045A6"/>
    <w:rsid w:val="23BE21BE"/>
    <w:rsid w:val="23C21FD8"/>
    <w:rsid w:val="23EA3342"/>
    <w:rsid w:val="23F711EF"/>
    <w:rsid w:val="24042E63"/>
    <w:rsid w:val="240F3180"/>
    <w:rsid w:val="24124B1A"/>
    <w:rsid w:val="241A1E83"/>
    <w:rsid w:val="241C5450"/>
    <w:rsid w:val="242D5F16"/>
    <w:rsid w:val="24313629"/>
    <w:rsid w:val="244A58AB"/>
    <w:rsid w:val="244D65B8"/>
    <w:rsid w:val="245434CE"/>
    <w:rsid w:val="246D0CD8"/>
    <w:rsid w:val="24910197"/>
    <w:rsid w:val="249441E7"/>
    <w:rsid w:val="24AF7273"/>
    <w:rsid w:val="24B208DF"/>
    <w:rsid w:val="24C525F3"/>
    <w:rsid w:val="24DE5462"/>
    <w:rsid w:val="24E46A77"/>
    <w:rsid w:val="24ED4581"/>
    <w:rsid w:val="25096983"/>
    <w:rsid w:val="25241B52"/>
    <w:rsid w:val="255D3E61"/>
    <w:rsid w:val="255F7774"/>
    <w:rsid w:val="256732C6"/>
    <w:rsid w:val="256F3C14"/>
    <w:rsid w:val="257608E2"/>
    <w:rsid w:val="258B4548"/>
    <w:rsid w:val="258C4C32"/>
    <w:rsid w:val="258F27CB"/>
    <w:rsid w:val="259A5476"/>
    <w:rsid w:val="25A50377"/>
    <w:rsid w:val="25B44393"/>
    <w:rsid w:val="25C428AA"/>
    <w:rsid w:val="25C61493"/>
    <w:rsid w:val="25E12C94"/>
    <w:rsid w:val="25E52CDA"/>
    <w:rsid w:val="25EE610A"/>
    <w:rsid w:val="25F21DF8"/>
    <w:rsid w:val="25F61BA0"/>
    <w:rsid w:val="25F62749"/>
    <w:rsid w:val="26064C51"/>
    <w:rsid w:val="26313084"/>
    <w:rsid w:val="267F4C94"/>
    <w:rsid w:val="267F67D1"/>
    <w:rsid w:val="268A7650"/>
    <w:rsid w:val="269E73A8"/>
    <w:rsid w:val="26C97A99"/>
    <w:rsid w:val="26D47839"/>
    <w:rsid w:val="26E92467"/>
    <w:rsid w:val="26F2099A"/>
    <w:rsid w:val="271B2D57"/>
    <w:rsid w:val="2734593E"/>
    <w:rsid w:val="27457A1B"/>
    <w:rsid w:val="27624129"/>
    <w:rsid w:val="27790677"/>
    <w:rsid w:val="27A373D4"/>
    <w:rsid w:val="27B106F9"/>
    <w:rsid w:val="27B92596"/>
    <w:rsid w:val="27BA3246"/>
    <w:rsid w:val="27C724D1"/>
    <w:rsid w:val="27CF692B"/>
    <w:rsid w:val="27D1651B"/>
    <w:rsid w:val="27D84CE6"/>
    <w:rsid w:val="27DB221C"/>
    <w:rsid w:val="27E965F8"/>
    <w:rsid w:val="27FC6368"/>
    <w:rsid w:val="28034FD9"/>
    <w:rsid w:val="280C52CA"/>
    <w:rsid w:val="283D461F"/>
    <w:rsid w:val="28523AFF"/>
    <w:rsid w:val="285B184B"/>
    <w:rsid w:val="28736DBF"/>
    <w:rsid w:val="2877137F"/>
    <w:rsid w:val="2888032F"/>
    <w:rsid w:val="28AA460A"/>
    <w:rsid w:val="28BE0987"/>
    <w:rsid w:val="28D948BF"/>
    <w:rsid w:val="28E21F0E"/>
    <w:rsid w:val="28EA61ED"/>
    <w:rsid w:val="28EB12EF"/>
    <w:rsid w:val="28EC5BE2"/>
    <w:rsid w:val="291A3A54"/>
    <w:rsid w:val="2927387C"/>
    <w:rsid w:val="292913D1"/>
    <w:rsid w:val="29307C15"/>
    <w:rsid w:val="29321C8C"/>
    <w:rsid w:val="29364BAC"/>
    <w:rsid w:val="29427770"/>
    <w:rsid w:val="294436C0"/>
    <w:rsid w:val="29555448"/>
    <w:rsid w:val="295B068E"/>
    <w:rsid w:val="295E6B72"/>
    <w:rsid w:val="29753E5B"/>
    <w:rsid w:val="297E6BF0"/>
    <w:rsid w:val="29830A23"/>
    <w:rsid w:val="298505A2"/>
    <w:rsid w:val="299719DF"/>
    <w:rsid w:val="29AD1B69"/>
    <w:rsid w:val="29C454C5"/>
    <w:rsid w:val="2A0635A2"/>
    <w:rsid w:val="2A162B62"/>
    <w:rsid w:val="2A1910AD"/>
    <w:rsid w:val="2A2C3B54"/>
    <w:rsid w:val="2A2D69AF"/>
    <w:rsid w:val="2A383867"/>
    <w:rsid w:val="2A515941"/>
    <w:rsid w:val="2A763ACC"/>
    <w:rsid w:val="2A7A3E7F"/>
    <w:rsid w:val="2A90718F"/>
    <w:rsid w:val="2AA131BA"/>
    <w:rsid w:val="2AA86F56"/>
    <w:rsid w:val="2AAA703B"/>
    <w:rsid w:val="2ABB69E6"/>
    <w:rsid w:val="2AC902C8"/>
    <w:rsid w:val="2ADD08E9"/>
    <w:rsid w:val="2ADE6FBF"/>
    <w:rsid w:val="2AE60D1A"/>
    <w:rsid w:val="2AE80B7A"/>
    <w:rsid w:val="2B1B15F8"/>
    <w:rsid w:val="2B4C0C79"/>
    <w:rsid w:val="2B793E3B"/>
    <w:rsid w:val="2B9335CA"/>
    <w:rsid w:val="2B9614C0"/>
    <w:rsid w:val="2BB02A37"/>
    <w:rsid w:val="2BBF5C96"/>
    <w:rsid w:val="2BC172BB"/>
    <w:rsid w:val="2BCE08EC"/>
    <w:rsid w:val="2BDA1BE3"/>
    <w:rsid w:val="2BE02C40"/>
    <w:rsid w:val="2BE45A54"/>
    <w:rsid w:val="2BE84159"/>
    <w:rsid w:val="2BF5472F"/>
    <w:rsid w:val="2C103AD8"/>
    <w:rsid w:val="2C143C59"/>
    <w:rsid w:val="2C2D1DE5"/>
    <w:rsid w:val="2C361D24"/>
    <w:rsid w:val="2C384359"/>
    <w:rsid w:val="2C472C8F"/>
    <w:rsid w:val="2C4B6F74"/>
    <w:rsid w:val="2C555293"/>
    <w:rsid w:val="2C5A1872"/>
    <w:rsid w:val="2C6D3C9C"/>
    <w:rsid w:val="2C723109"/>
    <w:rsid w:val="2C736DD8"/>
    <w:rsid w:val="2C742F1C"/>
    <w:rsid w:val="2C7D4FE4"/>
    <w:rsid w:val="2C864E97"/>
    <w:rsid w:val="2C9C4F27"/>
    <w:rsid w:val="2CA53E3F"/>
    <w:rsid w:val="2CA95714"/>
    <w:rsid w:val="2CAB35CB"/>
    <w:rsid w:val="2CE55400"/>
    <w:rsid w:val="2CE61F34"/>
    <w:rsid w:val="2CEE4A0A"/>
    <w:rsid w:val="2D0C2E9D"/>
    <w:rsid w:val="2D2F6636"/>
    <w:rsid w:val="2D300D92"/>
    <w:rsid w:val="2D4B71F5"/>
    <w:rsid w:val="2D4D30D8"/>
    <w:rsid w:val="2D5B7F98"/>
    <w:rsid w:val="2D731B04"/>
    <w:rsid w:val="2D834B46"/>
    <w:rsid w:val="2D874EDD"/>
    <w:rsid w:val="2D8A4045"/>
    <w:rsid w:val="2D8C42FF"/>
    <w:rsid w:val="2DA32202"/>
    <w:rsid w:val="2DBA2380"/>
    <w:rsid w:val="2DD02CED"/>
    <w:rsid w:val="2DD71A75"/>
    <w:rsid w:val="2DE80B0C"/>
    <w:rsid w:val="2DEC6C60"/>
    <w:rsid w:val="2DEF0A39"/>
    <w:rsid w:val="2DF67CC1"/>
    <w:rsid w:val="2E123636"/>
    <w:rsid w:val="2E351396"/>
    <w:rsid w:val="2E395473"/>
    <w:rsid w:val="2E451FD1"/>
    <w:rsid w:val="2E4F6AE3"/>
    <w:rsid w:val="2E5A7854"/>
    <w:rsid w:val="2E6966E5"/>
    <w:rsid w:val="2E711A24"/>
    <w:rsid w:val="2E895C66"/>
    <w:rsid w:val="2E9B6172"/>
    <w:rsid w:val="2EB427DD"/>
    <w:rsid w:val="2EBC1762"/>
    <w:rsid w:val="2ED93263"/>
    <w:rsid w:val="2EE90EC4"/>
    <w:rsid w:val="2EEE2746"/>
    <w:rsid w:val="2F113949"/>
    <w:rsid w:val="2F155F9A"/>
    <w:rsid w:val="2F195A15"/>
    <w:rsid w:val="2F406446"/>
    <w:rsid w:val="2F475735"/>
    <w:rsid w:val="2F650C5A"/>
    <w:rsid w:val="2F65331D"/>
    <w:rsid w:val="2F6A3A41"/>
    <w:rsid w:val="2F745AFB"/>
    <w:rsid w:val="2FF34336"/>
    <w:rsid w:val="3000392C"/>
    <w:rsid w:val="300B0AA2"/>
    <w:rsid w:val="302428C3"/>
    <w:rsid w:val="30300F95"/>
    <w:rsid w:val="303221D2"/>
    <w:rsid w:val="304B055B"/>
    <w:rsid w:val="304C3BC8"/>
    <w:rsid w:val="30537C8D"/>
    <w:rsid w:val="305D6B4A"/>
    <w:rsid w:val="30692FA9"/>
    <w:rsid w:val="309A756F"/>
    <w:rsid w:val="30BF628B"/>
    <w:rsid w:val="30CC62CE"/>
    <w:rsid w:val="30EC1347"/>
    <w:rsid w:val="30EE0BAA"/>
    <w:rsid w:val="3126530C"/>
    <w:rsid w:val="315B6931"/>
    <w:rsid w:val="31842A3C"/>
    <w:rsid w:val="31A2350C"/>
    <w:rsid w:val="31E63BA8"/>
    <w:rsid w:val="31FC2FF6"/>
    <w:rsid w:val="31FD161E"/>
    <w:rsid w:val="32124D79"/>
    <w:rsid w:val="32280A05"/>
    <w:rsid w:val="32280BB6"/>
    <w:rsid w:val="32427C36"/>
    <w:rsid w:val="32566604"/>
    <w:rsid w:val="325C7A19"/>
    <w:rsid w:val="325F4087"/>
    <w:rsid w:val="326450CC"/>
    <w:rsid w:val="3270424C"/>
    <w:rsid w:val="32726D33"/>
    <w:rsid w:val="32793F3A"/>
    <w:rsid w:val="32862F30"/>
    <w:rsid w:val="32882305"/>
    <w:rsid w:val="328A4F57"/>
    <w:rsid w:val="32944E41"/>
    <w:rsid w:val="32A0583E"/>
    <w:rsid w:val="32A46FE0"/>
    <w:rsid w:val="32B605BF"/>
    <w:rsid w:val="32B92120"/>
    <w:rsid w:val="32BB5035"/>
    <w:rsid w:val="32D86607"/>
    <w:rsid w:val="32F32A21"/>
    <w:rsid w:val="32F81DE5"/>
    <w:rsid w:val="33026AB6"/>
    <w:rsid w:val="3381451A"/>
    <w:rsid w:val="33B03948"/>
    <w:rsid w:val="33E83C08"/>
    <w:rsid w:val="3422536C"/>
    <w:rsid w:val="34370350"/>
    <w:rsid w:val="346A4411"/>
    <w:rsid w:val="347528E2"/>
    <w:rsid w:val="34880C74"/>
    <w:rsid w:val="349647EC"/>
    <w:rsid w:val="34AE28E6"/>
    <w:rsid w:val="34CA36DC"/>
    <w:rsid w:val="350031D3"/>
    <w:rsid w:val="35363B2B"/>
    <w:rsid w:val="35386B47"/>
    <w:rsid w:val="35410E83"/>
    <w:rsid w:val="35612AF2"/>
    <w:rsid w:val="356E3BA6"/>
    <w:rsid w:val="356F67B8"/>
    <w:rsid w:val="357A4AB5"/>
    <w:rsid w:val="35912DAA"/>
    <w:rsid w:val="35A27EC6"/>
    <w:rsid w:val="35AE42D8"/>
    <w:rsid w:val="35C459EF"/>
    <w:rsid w:val="35DA14FD"/>
    <w:rsid w:val="35DB7C86"/>
    <w:rsid w:val="35DE6465"/>
    <w:rsid w:val="35E30B2B"/>
    <w:rsid w:val="35EA079B"/>
    <w:rsid w:val="35EA7759"/>
    <w:rsid w:val="36114D35"/>
    <w:rsid w:val="361F7B5A"/>
    <w:rsid w:val="36255BC3"/>
    <w:rsid w:val="363045D4"/>
    <w:rsid w:val="36415304"/>
    <w:rsid w:val="3666184C"/>
    <w:rsid w:val="369E4A52"/>
    <w:rsid w:val="36A1760F"/>
    <w:rsid w:val="36B7054B"/>
    <w:rsid w:val="36B94773"/>
    <w:rsid w:val="36C330CF"/>
    <w:rsid w:val="36D83E3F"/>
    <w:rsid w:val="3710594F"/>
    <w:rsid w:val="37400A56"/>
    <w:rsid w:val="376B202F"/>
    <w:rsid w:val="37766485"/>
    <w:rsid w:val="37802DC5"/>
    <w:rsid w:val="37823006"/>
    <w:rsid w:val="37B30834"/>
    <w:rsid w:val="37BA22E6"/>
    <w:rsid w:val="37C21110"/>
    <w:rsid w:val="37CF580A"/>
    <w:rsid w:val="37D32568"/>
    <w:rsid w:val="37F25055"/>
    <w:rsid w:val="38190EC1"/>
    <w:rsid w:val="382F0F1A"/>
    <w:rsid w:val="38312021"/>
    <w:rsid w:val="38325514"/>
    <w:rsid w:val="38793836"/>
    <w:rsid w:val="388C1797"/>
    <w:rsid w:val="38BF34B1"/>
    <w:rsid w:val="38BF41AB"/>
    <w:rsid w:val="38C0632A"/>
    <w:rsid w:val="38C302A7"/>
    <w:rsid w:val="38CC1257"/>
    <w:rsid w:val="38CD0F8C"/>
    <w:rsid w:val="390B0AC4"/>
    <w:rsid w:val="39162FC5"/>
    <w:rsid w:val="391942BB"/>
    <w:rsid w:val="391A244F"/>
    <w:rsid w:val="39205D9E"/>
    <w:rsid w:val="39273424"/>
    <w:rsid w:val="39316AFC"/>
    <w:rsid w:val="39377035"/>
    <w:rsid w:val="393A7292"/>
    <w:rsid w:val="39464DD9"/>
    <w:rsid w:val="39581A48"/>
    <w:rsid w:val="395A3E19"/>
    <w:rsid w:val="395D29A2"/>
    <w:rsid w:val="39722A70"/>
    <w:rsid w:val="3981080C"/>
    <w:rsid w:val="39871519"/>
    <w:rsid w:val="399B06EB"/>
    <w:rsid w:val="39B028C0"/>
    <w:rsid w:val="39B76556"/>
    <w:rsid w:val="39D42649"/>
    <w:rsid w:val="39DE109E"/>
    <w:rsid w:val="39E11A28"/>
    <w:rsid w:val="39E3734B"/>
    <w:rsid w:val="3A131E5A"/>
    <w:rsid w:val="3A1D7F28"/>
    <w:rsid w:val="3A2F2590"/>
    <w:rsid w:val="3A3000B7"/>
    <w:rsid w:val="3A3375A8"/>
    <w:rsid w:val="3A346BAD"/>
    <w:rsid w:val="3A3B7187"/>
    <w:rsid w:val="3A4714AE"/>
    <w:rsid w:val="3A5405D4"/>
    <w:rsid w:val="3A6C08F4"/>
    <w:rsid w:val="3A872C19"/>
    <w:rsid w:val="3A907460"/>
    <w:rsid w:val="3AC311A4"/>
    <w:rsid w:val="3ACF2F54"/>
    <w:rsid w:val="3ADB498A"/>
    <w:rsid w:val="3AEC4883"/>
    <w:rsid w:val="3AF767C6"/>
    <w:rsid w:val="3AFC4698"/>
    <w:rsid w:val="3AFC5296"/>
    <w:rsid w:val="3AFF1468"/>
    <w:rsid w:val="3B052FDA"/>
    <w:rsid w:val="3B0C0187"/>
    <w:rsid w:val="3B1039F4"/>
    <w:rsid w:val="3B110460"/>
    <w:rsid w:val="3B133C60"/>
    <w:rsid w:val="3B2E0C01"/>
    <w:rsid w:val="3B60503D"/>
    <w:rsid w:val="3B6F4C0F"/>
    <w:rsid w:val="3B991ABD"/>
    <w:rsid w:val="3B9A612F"/>
    <w:rsid w:val="3B9F3102"/>
    <w:rsid w:val="3BA7203F"/>
    <w:rsid w:val="3BAF64C2"/>
    <w:rsid w:val="3BB5271A"/>
    <w:rsid w:val="3BBE324F"/>
    <w:rsid w:val="3BC039F6"/>
    <w:rsid w:val="3BC2134B"/>
    <w:rsid w:val="3BC6569C"/>
    <w:rsid w:val="3BE92C13"/>
    <w:rsid w:val="3BEE1FD4"/>
    <w:rsid w:val="3BF015FD"/>
    <w:rsid w:val="3BF77C28"/>
    <w:rsid w:val="3BFB3A9F"/>
    <w:rsid w:val="3C0074AE"/>
    <w:rsid w:val="3C1B6FEC"/>
    <w:rsid w:val="3C2E2894"/>
    <w:rsid w:val="3C8D4E8D"/>
    <w:rsid w:val="3C8F7550"/>
    <w:rsid w:val="3C907BF0"/>
    <w:rsid w:val="3C974E2E"/>
    <w:rsid w:val="3C9B215F"/>
    <w:rsid w:val="3CA13016"/>
    <w:rsid w:val="3CCC29E2"/>
    <w:rsid w:val="3CDC24D5"/>
    <w:rsid w:val="3CE225B5"/>
    <w:rsid w:val="3CE54EBA"/>
    <w:rsid w:val="3D0777F5"/>
    <w:rsid w:val="3D0A2BA5"/>
    <w:rsid w:val="3D1B5EC5"/>
    <w:rsid w:val="3D2573C2"/>
    <w:rsid w:val="3D2A22F0"/>
    <w:rsid w:val="3D335C39"/>
    <w:rsid w:val="3D3533B9"/>
    <w:rsid w:val="3D416C83"/>
    <w:rsid w:val="3D452386"/>
    <w:rsid w:val="3D532A3A"/>
    <w:rsid w:val="3D605CA8"/>
    <w:rsid w:val="3D8A6036"/>
    <w:rsid w:val="3D911F80"/>
    <w:rsid w:val="3DBC7DB8"/>
    <w:rsid w:val="3DD403A2"/>
    <w:rsid w:val="3DDA6CB7"/>
    <w:rsid w:val="3DE0182C"/>
    <w:rsid w:val="3DE10046"/>
    <w:rsid w:val="3DEB7740"/>
    <w:rsid w:val="3DEC2546"/>
    <w:rsid w:val="3DFE13C3"/>
    <w:rsid w:val="3E0A682F"/>
    <w:rsid w:val="3E120DBF"/>
    <w:rsid w:val="3E285C74"/>
    <w:rsid w:val="3E42660A"/>
    <w:rsid w:val="3E4400E7"/>
    <w:rsid w:val="3E67734B"/>
    <w:rsid w:val="3E6D7B2B"/>
    <w:rsid w:val="3E9418D5"/>
    <w:rsid w:val="3E9F14AA"/>
    <w:rsid w:val="3EAD20E3"/>
    <w:rsid w:val="3EB6373C"/>
    <w:rsid w:val="3ECF4138"/>
    <w:rsid w:val="3ED454B4"/>
    <w:rsid w:val="3ED5122D"/>
    <w:rsid w:val="3ED938FB"/>
    <w:rsid w:val="3EDE5D60"/>
    <w:rsid w:val="3EEB6BD9"/>
    <w:rsid w:val="3F0D6C18"/>
    <w:rsid w:val="3F102CD3"/>
    <w:rsid w:val="3F120B10"/>
    <w:rsid w:val="3F423B10"/>
    <w:rsid w:val="3F6E48C7"/>
    <w:rsid w:val="3F732F1F"/>
    <w:rsid w:val="3F764C1B"/>
    <w:rsid w:val="3F7E3672"/>
    <w:rsid w:val="3F9C7EDC"/>
    <w:rsid w:val="3FAC23D6"/>
    <w:rsid w:val="3FBA1AEB"/>
    <w:rsid w:val="3FC21EE6"/>
    <w:rsid w:val="3FC62645"/>
    <w:rsid w:val="3FC762C2"/>
    <w:rsid w:val="3FD26578"/>
    <w:rsid w:val="3FD518C0"/>
    <w:rsid w:val="3FFB43AD"/>
    <w:rsid w:val="40153856"/>
    <w:rsid w:val="403F1053"/>
    <w:rsid w:val="404A34DB"/>
    <w:rsid w:val="4065700E"/>
    <w:rsid w:val="40682BB6"/>
    <w:rsid w:val="406E6CCF"/>
    <w:rsid w:val="4074513F"/>
    <w:rsid w:val="4086082D"/>
    <w:rsid w:val="40890E7F"/>
    <w:rsid w:val="40A315E2"/>
    <w:rsid w:val="40A73D78"/>
    <w:rsid w:val="40BB3134"/>
    <w:rsid w:val="40CC5942"/>
    <w:rsid w:val="40E77937"/>
    <w:rsid w:val="40EA4866"/>
    <w:rsid w:val="40F2123F"/>
    <w:rsid w:val="40F47DB5"/>
    <w:rsid w:val="411B14E1"/>
    <w:rsid w:val="411F02FE"/>
    <w:rsid w:val="41393CF5"/>
    <w:rsid w:val="414440B1"/>
    <w:rsid w:val="4153520E"/>
    <w:rsid w:val="416C23A8"/>
    <w:rsid w:val="41786D2A"/>
    <w:rsid w:val="41810341"/>
    <w:rsid w:val="41845CA0"/>
    <w:rsid w:val="41945E2E"/>
    <w:rsid w:val="41C27A3D"/>
    <w:rsid w:val="41DC67EC"/>
    <w:rsid w:val="41F20537"/>
    <w:rsid w:val="41F92FE7"/>
    <w:rsid w:val="42067015"/>
    <w:rsid w:val="420F4A55"/>
    <w:rsid w:val="42124940"/>
    <w:rsid w:val="423B189D"/>
    <w:rsid w:val="424E1AC6"/>
    <w:rsid w:val="425D5BE0"/>
    <w:rsid w:val="42621029"/>
    <w:rsid w:val="427328DA"/>
    <w:rsid w:val="42884BB0"/>
    <w:rsid w:val="42894168"/>
    <w:rsid w:val="42A31D6D"/>
    <w:rsid w:val="42AE454B"/>
    <w:rsid w:val="42AE7254"/>
    <w:rsid w:val="42B42080"/>
    <w:rsid w:val="430E20A9"/>
    <w:rsid w:val="430F6485"/>
    <w:rsid w:val="43107404"/>
    <w:rsid w:val="43454EAD"/>
    <w:rsid w:val="43667552"/>
    <w:rsid w:val="438E183A"/>
    <w:rsid w:val="439D6BED"/>
    <w:rsid w:val="43A452DD"/>
    <w:rsid w:val="43C35BF6"/>
    <w:rsid w:val="43E80DDE"/>
    <w:rsid w:val="43EF144A"/>
    <w:rsid w:val="43F017B5"/>
    <w:rsid w:val="43FF401D"/>
    <w:rsid w:val="442A1341"/>
    <w:rsid w:val="444E1587"/>
    <w:rsid w:val="44567908"/>
    <w:rsid w:val="44597308"/>
    <w:rsid w:val="446A7973"/>
    <w:rsid w:val="447119F7"/>
    <w:rsid w:val="447C1C92"/>
    <w:rsid w:val="447D31D0"/>
    <w:rsid w:val="448347FC"/>
    <w:rsid w:val="449000D0"/>
    <w:rsid w:val="44A23EE3"/>
    <w:rsid w:val="44A80AE0"/>
    <w:rsid w:val="44AA4B6F"/>
    <w:rsid w:val="44C21381"/>
    <w:rsid w:val="44E11D8D"/>
    <w:rsid w:val="44F74553"/>
    <w:rsid w:val="4502213A"/>
    <w:rsid w:val="450A1747"/>
    <w:rsid w:val="45163E17"/>
    <w:rsid w:val="452B7DF8"/>
    <w:rsid w:val="454955E0"/>
    <w:rsid w:val="456608CA"/>
    <w:rsid w:val="45715A81"/>
    <w:rsid w:val="45736A5E"/>
    <w:rsid w:val="45A136C4"/>
    <w:rsid w:val="45A340BC"/>
    <w:rsid w:val="45AC03A0"/>
    <w:rsid w:val="45AC0F1D"/>
    <w:rsid w:val="45C87922"/>
    <w:rsid w:val="45DD4736"/>
    <w:rsid w:val="46055615"/>
    <w:rsid w:val="46066DB0"/>
    <w:rsid w:val="460D11E2"/>
    <w:rsid w:val="46205483"/>
    <w:rsid w:val="462C38E1"/>
    <w:rsid w:val="46304A05"/>
    <w:rsid w:val="463B670C"/>
    <w:rsid w:val="464758F3"/>
    <w:rsid w:val="464A0752"/>
    <w:rsid w:val="46545D00"/>
    <w:rsid w:val="46797035"/>
    <w:rsid w:val="4691012F"/>
    <w:rsid w:val="469B1F82"/>
    <w:rsid w:val="469E71A8"/>
    <w:rsid w:val="46A059C2"/>
    <w:rsid w:val="46AD52B3"/>
    <w:rsid w:val="46AF05B5"/>
    <w:rsid w:val="46DF4B26"/>
    <w:rsid w:val="46E57333"/>
    <w:rsid w:val="46F37FEB"/>
    <w:rsid w:val="46F96400"/>
    <w:rsid w:val="4712301E"/>
    <w:rsid w:val="472972CF"/>
    <w:rsid w:val="473E6151"/>
    <w:rsid w:val="4743767B"/>
    <w:rsid w:val="475573AE"/>
    <w:rsid w:val="476D5309"/>
    <w:rsid w:val="477B2925"/>
    <w:rsid w:val="47986E44"/>
    <w:rsid w:val="47A73950"/>
    <w:rsid w:val="47E250E6"/>
    <w:rsid w:val="47F73984"/>
    <w:rsid w:val="480606B0"/>
    <w:rsid w:val="48106FE5"/>
    <w:rsid w:val="481B61ED"/>
    <w:rsid w:val="48687F1C"/>
    <w:rsid w:val="486C1ED8"/>
    <w:rsid w:val="48BE2C92"/>
    <w:rsid w:val="48D760FE"/>
    <w:rsid w:val="48EA7844"/>
    <w:rsid w:val="48F21359"/>
    <w:rsid w:val="48FF7C5E"/>
    <w:rsid w:val="491D214E"/>
    <w:rsid w:val="491E356B"/>
    <w:rsid w:val="492049A3"/>
    <w:rsid w:val="49241ED2"/>
    <w:rsid w:val="49264EF1"/>
    <w:rsid w:val="493B3942"/>
    <w:rsid w:val="4942748E"/>
    <w:rsid w:val="494871CB"/>
    <w:rsid w:val="494B5E53"/>
    <w:rsid w:val="494C684F"/>
    <w:rsid w:val="494F67AB"/>
    <w:rsid w:val="49521DF7"/>
    <w:rsid w:val="495C0AA0"/>
    <w:rsid w:val="49B1034B"/>
    <w:rsid w:val="49B70B6D"/>
    <w:rsid w:val="49BB5E4E"/>
    <w:rsid w:val="49C20B73"/>
    <w:rsid w:val="49E8450A"/>
    <w:rsid w:val="4A1E3175"/>
    <w:rsid w:val="4A3370BA"/>
    <w:rsid w:val="4A4543C6"/>
    <w:rsid w:val="4A4E23DD"/>
    <w:rsid w:val="4A4F4B74"/>
    <w:rsid w:val="4A4F7228"/>
    <w:rsid w:val="4A6A6D04"/>
    <w:rsid w:val="4A7E09CA"/>
    <w:rsid w:val="4AA55ED7"/>
    <w:rsid w:val="4AAC3CC0"/>
    <w:rsid w:val="4AC77E3B"/>
    <w:rsid w:val="4ACB4469"/>
    <w:rsid w:val="4ACC3EEE"/>
    <w:rsid w:val="4AD068B4"/>
    <w:rsid w:val="4AD41E04"/>
    <w:rsid w:val="4AE958EC"/>
    <w:rsid w:val="4B01400A"/>
    <w:rsid w:val="4B3F4557"/>
    <w:rsid w:val="4B8769F6"/>
    <w:rsid w:val="4B91498B"/>
    <w:rsid w:val="4B931424"/>
    <w:rsid w:val="4B9821A9"/>
    <w:rsid w:val="4BA6188C"/>
    <w:rsid w:val="4BAD1FA1"/>
    <w:rsid w:val="4BB15152"/>
    <w:rsid w:val="4BB603A2"/>
    <w:rsid w:val="4BC37ED5"/>
    <w:rsid w:val="4BCC4C03"/>
    <w:rsid w:val="4BCD39B7"/>
    <w:rsid w:val="4BCF0301"/>
    <w:rsid w:val="4BF453E8"/>
    <w:rsid w:val="4C0A0767"/>
    <w:rsid w:val="4C11590C"/>
    <w:rsid w:val="4C1E51EE"/>
    <w:rsid w:val="4C2061DD"/>
    <w:rsid w:val="4C2A1F47"/>
    <w:rsid w:val="4C307108"/>
    <w:rsid w:val="4C393C27"/>
    <w:rsid w:val="4C3C28EB"/>
    <w:rsid w:val="4C432716"/>
    <w:rsid w:val="4C4519BE"/>
    <w:rsid w:val="4C4C6FD2"/>
    <w:rsid w:val="4C5D0E54"/>
    <w:rsid w:val="4C7107E7"/>
    <w:rsid w:val="4C842CE8"/>
    <w:rsid w:val="4C8C26A7"/>
    <w:rsid w:val="4CA566E2"/>
    <w:rsid w:val="4CB525DD"/>
    <w:rsid w:val="4CB5540A"/>
    <w:rsid w:val="4CBD7A92"/>
    <w:rsid w:val="4CC82E66"/>
    <w:rsid w:val="4CD33573"/>
    <w:rsid w:val="4CD66B35"/>
    <w:rsid w:val="4D276E7A"/>
    <w:rsid w:val="4D2770F7"/>
    <w:rsid w:val="4D391E74"/>
    <w:rsid w:val="4D4373FC"/>
    <w:rsid w:val="4D5B0D0C"/>
    <w:rsid w:val="4D5D6FBD"/>
    <w:rsid w:val="4D6821E6"/>
    <w:rsid w:val="4DAD74CF"/>
    <w:rsid w:val="4DB90848"/>
    <w:rsid w:val="4DC61BBE"/>
    <w:rsid w:val="4DC86B2C"/>
    <w:rsid w:val="4DCA5DBC"/>
    <w:rsid w:val="4DD70FD5"/>
    <w:rsid w:val="4DE568B7"/>
    <w:rsid w:val="4DFD7CEB"/>
    <w:rsid w:val="4E1A6C5C"/>
    <w:rsid w:val="4E3A10AC"/>
    <w:rsid w:val="4E3B0DD7"/>
    <w:rsid w:val="4E43658A"/>
    <w:rsid w:val="4E4D2ADE"/>
    <w:rsid w:val="4E7E71D5"/>
    <w:rsid w:val="4E960E86"/>
    <w:rsid w:val="4EA7201B"/>
    <w:rsid w:val="4EAD7102"/>
    <w:rsid w:val="4EB11518"/>
    <w:rsid w:val="4EB26E94"/>
    <w:rsid w:val="4EC24CB8"/>
    <w:rsid w:val="4EDF1751"/>
    <w:rsid w:val="4F0E361E"/>
    <w:rsid w:val="4F231B40"/>
    <w:rsid w:val="4F302909"/>
    <w:rsid w:val="4F442E5D"/>
    <w:rsid w:val="4F50038B"/>
    <w:rsid w:val="4F534CD7"/>
    <w:rsid w:val="4F634BC9"/>
    <w:rsid w:val="4F734899"/>
    <w:rsid w:val="4F7B6A90"/>
    <w:rsid w:val="4F7E2395"/>
    <w:rsid w:val="4F803854"/>
    <w:rsid w:val="4F82321A"/>
    <w:rsid w:val="4F8E742F"/>
    <w:rsid w:val="4F8F04B7"/>
    <w:rsid w:val="4F9A042C"/>
    <w:rsid w:val="4FAF7D99"/>
    <w:rsid w:val="4FB16CCA"/>
    <w:rsid w:val="4FB84F4B"/>
    <w:rsid w:val="4FD64808"/>
    <w:rsid w:val="4FDB4423"/>
    <w:rsid w:val="4FDE22E4"/>
    <w:rsid w:val="4FDE3EF0"/>
    <w:rsid w:val="4FDE4342"/>
    <w:rsid w:val="5007157B"/>
    <w:rsid w:val="500B45CE"/>
    <w:rsid w:val="501424D4"/>
    <w:rsid w:val="501A67F7"/>
    <w:rsid w:val="50211B71"/>
    <w:rsid w:val="504B57F2"/>
    <w:rsid w:val="505540DC"/>
    <w:rsid w:val="50586B39"/>
    <w:rsid w:val="506D58CC"/>
    <w:rsid w:val="5076288D"/>
    <w:rsid w:val="50852092"/>
    <w:rsid w:val="50A532C2"/>
    <w:rsid w:val="50B213CE"/>
    <w:rsid w:val="50B36B51"/>
    <w:rsid w:val="50C057AC"/>
    <w:rsid w:val="50C93F03"/>
    <w:rsid w:val="50CD1053"/>
    <w:rsid w:val="50CE348B"/>
    <w:rsid w:val="50CF1F80"/>
    <w:rsid w:val="50CF3D94"/>
    <w:rsid w:val="50DA4DF3"/>
    <w:rsid w:val="50E10B6B"/>
    <w:rsid w:val="510A691E"/>
    <w:rsid w:val="511B3698"/>
    <w:rsid w:val="512D11AF"/>
    <w:rsid w:val="513F5B02"/>
    <w:rsid w:val="514064B2"/>
    <w:rsid w:val="51440E46"/>
    <w:rsid w:val="51542485"/>
    <w:rsid w:val="516923D4"/>
    <w:rsid w:val="516E3AE8"/>
    <w:rsid w:val="51820595"/>
    <w:rsid w:val="51842D6A"/>
    <w:rsid w:val="51962A9D"/>
    <w:rsid w:val="51963235"/>
    <w:rsid w:val="51A72608"/>
    <w:rsid w:val="51B0369E"/>
    <w:rsid w:val="51C25640"/>
    <w:rsid w:val="51C4760A"/>
    <w:rsid w:val="51C969CF"/>
    <w:rsid w:val="51CA1D8A"/>
    <w:rsid w:val="51CC7D9D"/>
    <w:rsid w:val="51D07D5D"/>
    <w:rsid w:val="51FF74B8"/>
    <w:rsid w:val="520A4423"/>
    <w:rsid w:val="52143060"/>
    <w:rsid w:val="52156840"/>
    <w:rsid w:val="52224EF8"/>
    <w:rsid w:val="522679F4"/>
    <w:rsid w:val="522D3402"/>
    <w:rsid w:val="523A1FC0"/>
    <w:rsid w:val="526201F5"/>
    <w:rsid w:val="52741A89"/>
    <w:rsid w:val="52900F78"/>
    <w:rsid w:val="52993FA0"/>
    <w:rsid w:val="529D61E3"/>
    <w:rsid w:val="52A339B6"/>
    <w:rsid w:val="52A5743C"/>
    <w:rsid w:val="52E52FC3"/>
    <w:rsid w:val="52F57CA6"/>
    <w:rsid w:val="53065F86"/>
    <w:rsid w:val="530C1A22"/>
    <w:rsid w:val="53163259"/>
    <w:rsid w:val="532B216B"/>
    <w:rsid w:val="534E4309"/>
    <w:rsid w:val="536567ED"/>
    <w:rsid w:val="53691369"/>
    <w:rsid w:val="537806AC"/>
    <w:rsid w:val="53855543"/>
    <w:rsid w:val="538C5F06"/>
    <w:rsid w:val="53A809C5"/>
    <w:rsid w:val="53C658BC"/>
    <w:rsid w:val="53C90F08"/>
    <w:rsid w:val="53E2313E"/>
    <w:rsid w:val="54071B43"/>
    <w:rsid w:val="54185AF9"/>
    <w:rsid w:val="54353F9D"/>
    <w:rsid w:val="54381F8E"/>
    <w:rsid w:val="543E0C0F"/>
    <w:rsid w:val="54487065"/>
    <w:rsid w:val="544D5C90"/>
    <w:rsid w:val="548E031B"/>
    <w:rsid w:val="54C46176"/>
    <w:rsid w:val="54D036BB"/>
    <w:rsid w:val="54D170A3"/>
    <w:rsid w:val="54EC4DE8"/>
    <w:rsid w:val="54F21F11"/>
    <w:rsid w:val="54FB79D7"/>
    <w:rsid w:val="5500270B"/>
    <w:rsid w:val="550F1330"/>
    <w:rsid w:val="551E4698"/>
    <w:rsid w:val="5530650D"/>
    <w:rsid w:val="55325E6D"/>
    <w:rsid w:val="55345488"/>
    <w:rsid w:val="553F02C1"/>
    <w:rsid w:val="555B7055"/>
    <w:rsid w:val="556962F0"/>
    <w:rsid w:val="55B1350A"/>
    <w:rsid w:val="55BD520B"/>
    <w:rsid w:val="55D1679A"/>
    <w:rsid w:val="55D3103B"/>
    <w:rsid w:val="55D537CD"/>
    <w:rsid w:val="55F127EE"/>
    <w:rsid w:val="55FD0B7B"/>
    <w:rsid w:val="55FD30EB"/>
    <w:rsid w:val="56020701"/>
    <w:rsid w:val="56057B1F"/>
    <w:rsid w:val="560950E0"/>
    <w:rsid w:val="560D4B5C"/>
    <w:rsid w:val="56313FF6"/>
    <w:rsid w:val="5642720A"/>
    <w:rsid w:val="5658249F"/>
    <w:rsid w:val="56656DAE"/>
    <w:rsid w:val="5676196A"/>
    <w:rsid w:val="56780658"/>
    <w:rsid w:val="56C17F8F"/>
    <w:rsid w:val="56EE3BE1"/>
    <w:rsid w:val="56F02C50"/>
    <w:rsid w:val="56F73FDE"/>
    <w:rsid w:val="570258AE"/>
    <w:rsid w:val="570636A6"/>
    <w:rsid w:val="570D0833"/>
    <w:rsid w:val="571B241A"/>
    <w:rsid w:val="572A1648"/>
    <w:rsid w:val="572B1B77"/>
    <w:rsid w:val="572D12DA"/>
    <w:rsid w:val="573451A7"/>
    <w:rsid w:val="57405C1F"/>
    <w:rsid w:val="574373CA"/>
    <w:rsid w:val="5745366D"/>
    <w:rsid w:val="575C7426"/>
    <w:rsid w:val="57696EE6"/>
    <w:rsid w:val="57770C7B"/>
    <w:rsid w:val="5785783C"/>
    <w:rsid w:val="57864247"/>
    <w:rsid w:val="57A06424"/>
    <w:rsid w:val="57AA6128"/>
    <w:rsid w:val="57AC396B"/>
    <w:rsid w:val="57B04F36"/>
    <w:rsid w:val="57B74413"/>
    <w:rsid w:val="57D1482F"/>
    <w:rsid w:val="57D165DD"/>
    <w:rsid w:val="57ED6DC6"/>
    <w:rsid w:val="58021BEA"/>
    <w:rsid w:val="580469B3"/>
    <w:rsid w:val="581A12AC"/>
    <w:rsid w:val="582A1ED4"/>
    <w:rsid w:val="58310C72"/>
    <w:rsid w:val="583671A4"/>
    <w:rsid w:val="58392EE8"/>
    <w:rsid w:val="58580AAD"/>
    <w:rsid w:val="585A2BDC"/>
    <w:rsid w:val="585B4862"/>
    <w:rsid w:val="58943EE2"/>
    <w:rsid w:val="58AC3160"/>
    <w:rsid w:val="58AC3282"/>
    <w:rsid w:val="58B5081F"/>
    <w:rsid w:val="58B73C1F"/>
    <w:rsid w:val="58DF14D8"/>
    <w:rsid w:val="590C7EA4"/>
    <w:rsid w:val="593F1DBC"/>
    <w:rsid w:val="59426BB8"/>
    <w:rsid w:val="595607E3"/>
    <w:rsid w:val="59B6460B"/>
    <w:rsid w:val="59C37D8D"/>
    <w:rsid w:val="59D07793"/>
    <w:rsid w:val="59DA4877"/>
    <w:rsid w:val="59EF2443"/>
    <w:rsid w:val="59F74F71"/>
    <w:rsid w:val="59F81BAE"/>
    <w:rsid w:val="5A076B17"/>
    <w:rsid w:val="5A113609"/>
    <w:rsid w:val="5A132D6E"/>
    <w:rsid w:val="5A182BEE"/>
    <w:rsid w:val="5A202C97"/>
    <w:rsid w:val="5A6B2D19"/>
    <w:rsid w:val="5A800B4C"/>
    <w:rsid w:val="5A9509CE"/>
    <w:rsid w:val="5AA21828"/>
    <w:rsid w:val="5AA60A7D"/>
    <w:rsid w:val="5AAE5E99"/>
    <w:rsid w:val="5AD12767"/>
    <w:rsid w:val="5AD73437"/>
    <w:rsid w:val="5AEF01E2"/>
    <w:rsid w:val="5AF47203"/>
    <w:rsid w:val="5B1769FD"/>
    <w:rsid w:val="5B241A3E"/>
    <w:rsid w:val="5B266C40"/>
    <w:rsid w:val="5B2915EA"/>
    <w:rsid w:val="5B321AF1"/>
    <w:rsid w:val="5B333E4C"/>
    <w:rsid w:val="5B351D64"/>
    <w:rsid w:val="5B5C273E"/>
    <w:rsid w:val="5B772140"/>
    <w:rsid w:val="5B914A01"/>
    <w:rsid w:val="5BA2698F"/>
    <w:rsid w:val="5BBA2A2A"/>
    <w:rsid w:val="5BDD1A7E"/>
    <w:rsid w:val="5BE014E5"/>
    <w:rsid w:val="5BE55BA2"/>
    <w:rsid w:val="5C2515ED"/>
    <w:rsid w:val="5C296981"/>
    <w:rsid w:val="5C3321BD"/>
    <w:rsid w:val="5C422C75"/>
    <w:rsid w:val="5C4B64F2"/>
    <w:rsid w:val="5C702A52"/>
    <w:rsid w:val="5C766ECE"/>
    <w:rsid w:val="5C9F3435"/>
    <w:rsid w:val="5CAA53DB"/>
    <w:rsid w:val="5CD83ACA"/>
    <w:rsid w:val="5CF43873"/>
    <w:rsid w:val="5CF438D6"/>
    <w:rsid w:val="5D027239"/>
    <w:rsid w:val="5D046951"/>
    <w:rsid w:val="5D090E16"/>
    <w:rsid w:val="5D0C5EC2"/>
    <w:rsid w:val="5D0D5760"/>
    <w:rsid w:val="5D0F1F6D"/>
    <w:rsid w:val="5D120607"/>
    <w:rsid w:val="5D160AFE"/>
    <w:rsid w:val="5D1A2A7C"/>
    <w:rsid w:val="5D430968"/>
    <w:rsid w:val="5D5E508E"/>
    <w:rsid w:val="5D656F59"/>
    <w:rsid w:val="5D7C1664"/>
    <w:rsid w:val="5D7F0432"/>
    <w:rsid w:val="5D8226B4"/>
    <w:rsid w:val="5DAB7B37"/>
    <w:rsid w:val="5DDA4031"/>
    <w:rsid w:val="5DE11544"/>
    <w:rsid w:val="5DE2570F"/>
    <w:rsid w:val="5E1216FE"/>
    <w:rsid w:val="5E1400A6"/>
    <w:rsid w:val="5E1816F8"/>
    <w:rsid w:val="5E1F1D96"/>
    <w:rsid w:val="5E24290B"/>
    <w:rsid w:val="5E377723"/>
    <w:rsid w:val="5E445EF0"/>
    <w:rsid w:val="5E6E6DAB"/>
    <w:rsid w:val="5E96065C"/>
    <w:rsid w:val="5EA163B7"/>
    <w:rsid w:val="5EE72758"/>
    <w:rsid w:val="5EEB72CF"/>
    <w:rsid w:val="5EF93807"/>
    <w:rsid w:val="5F0545C8"/>
    <w:rsid w:val="5F085DA4"/>
    <w:rsid w:val="5F1855DB"/>
    <w:rsid w:val="5F334021"/>
    <w:rsid w:val="5F52392F"/>
    <w:rsid w:val="5F601649"/>
    <w:rsid w:val="5F673898"/>
    <w:rsid w:val="5F7E1332"/>
    <w:rsid w:val="5F8F74AA"/>
    <w:rsid w:val="5F927999"/>
    <w:rsid w:val="5F943C9B"/>
    <w:rsid w:val="5FA92F5A"/>
    <w:rsid w:val="5FAF02FD"/>
    <w:rsid w:val="5FBF7663"/>
    <w:rsid w:val="5FF90708"/>
    <w:rsid w:val="5FFD132D"/>
    <w:rsid w:val="6014175D"/>
    <w:rsid w:val="602838E5"/>
    <w:rsid w:val="6035635A"/>
    <w:rsid w:val="60395667"/>
    <w:rsid w:val="603D4476"/>
    <w:rsid w:val="60793CB6"/>
    <w:rsid w:val="609B00D0"/>
    <w:rsid w:val="60BF1CDB"/>
    <w:rsid w:val="60E71ECF"/>
    <w:rsid w:val="60EC26DA"/>
    <w:rsid w:val="60FD7762"/>
    <w:rsid w:val="610572F8"/>
    <w:rsid w:val="61073070"/>
    <w:rsid w:val="610C3698"/>
    <w:rsid w:val="61101AC6"/>
    <w:rsid w:val="612031E2"/>
    <w:rsid w:val="61244335"/>
    <w:rsid w:val="6128437A"/>
    <w:rsid w:val="61435CBB"/>
    <w:rsid w:val="61842912"/>
    <w:rsid w:val="618C372F"/>
    <w:rsid w:val="619A3EE4"/>
    <w:rsid w:val="61C43236"/>
    <w:rsid w:val="61CF4982"/>
    <w:rsid w:val="61EE1A33"/>
    <w:rsid w:val="620449AF"/>
    <w:rsid w:val="620D321D"/>
    <w:rsid w:val="621A4BF4"/>
    <w:rsid w:val="625422E5"/>
    <w:rsid w:val="62652FF0"/>
    <w:rsid w:val="626C2DFB"/>
    <w:rsid w:val="629D5436"/>
    <w:rsid w:val="62AE74D6"/>
    <w:rsid w:val="62AF39D2"/>
    <w:rsid w:val="62C45128"/>
    <w:rsid w:val="62C951A9"/>
    <w:rsid w:val="62EE44E7"/>
    <w:rsid w:val="62F76C92"/>
    <w:rsid w:val="630A5099"/>
    <w:rsid w:val="631C30AC"/>
    <w:rsid w:val="63307788"/>
    <w:rsid w:val="633A0929"/>
    <w:rsid w:val="634B3D70"/>
    <w:rsid w:val="63730E90"/>
    <w:rsid w:val="638F319A"/>
    <w:rsid w:val="63984453"/>
    <w:rsid w:val="63A06C42"/>
    <w:rsid w:val="63C6371E"/>
    <w:rsid w:val="63CE1898"/>
    <w:rsid w:val="63DD3B02"/>
    <w:rsid w:val="63E23E7E"/>
    <w:rsid w:val="63F35EC1"/>
    <w:rsid w:val="64197BDC"/>
    <w:rsid w:val="645E67EE"/>
    <w:rsid w:val="64833D23"/>
    <w:rsid w:val="649C61C5"/>
    <w:rsid w:val="649D1793"/>
    <w:rsid w:val="64A4192E"/>
    <w:rsid w:val="64A55EAB"/>
    <w:rsid w:val="64D21EBA"/>
    <w:rsid w:val="64E4310C"/>
    <w:rsid w:val="65160EC2"/>
    <w:rsid w:val="651A4998"/>
    <w:rsid w:val="653667D3"/>
    <w:rsid w:val="65442AE4"/>
    <w:rsid w:val="65505091"/>
    <w:rsid w:val="65842EE1"/>
    <w:rsid w:val="65866A8D"/>
    <w:rsid w:val="65915CCD"/>
    <w:rsid w:val="659F41BF"/>
    <w:rsid w:val="65A52FE7"/>
    <w:rsid w:val="65B5321C"/>
    <w:rsid w:val="65B80EEB"/>
    <w:rsid w:val="65FD3DED"/>
    <w:rsid w:val="66111AE9"/>
    <w:rsid w:val="662B7713"/>
    <w:rsid w:val="664146D9"/>
    <w:rsid w:val="66500A01"/>
    <w:rsid w:val="66507267"/>
    <w:rsid w:val="66587E4D"/>
    <w:rsid w:val="665A551B"/>
    <w:rsid w:val="666A0397"/>
    <w:rsid w:val="666D61BC"/>
    <w:rsid w:val="66770EA8"/>
    <w:rsid w:val="66981DCA"/>
    <w:rsid w:val="66A032AC"/>
    <w:rsid w:val="66A5036A"/>
    <w:rsid w:val="66A657E2"/>
    <w:rsid w:val="66B222B4"/>
    <w:rsid w:val="66C62B5D"/>
    <w:rsid w:val="66CD00E2"/>
    <w:rsid w:val="66CD4BCD"/>
    <w:rsid w:val="66F57901"/>
    <w:rsid w:val="66F7424D"/>
    <w:rsid w:val="670B3991"/>
    <w:rsid w:val="6716225F"/>
    <w:rsid w:val="67186E8F"/>
    <w:rsid w:val="67203B1D"/>
    <w:rsid w:val="67395F4D"/>
    <w:rsid w:val="674E66DB"/>
    <w:rsid w:val="67805019"/>
    <w:rsid w:val="67823D04"/>
    <w:rsid w:val="67890C82"/>
    <w:rsid w:val="67953B12"/>
    <w:rsid w:val="679750C7"/>
    <w:rsid w:val="67A17A14"/>
    <w:rsid w:val="67A67CB7"/>
    <w:rsid w:val="67C75C7F"/>
    <w:rsid w:val="67E571A0"/>
    <w:rsid w:val="67F03DE2"/>
    <w:rsid w:val="67FB4030"/>
    <w:rsid w:val="680111AD"/>
    <w:rsid w:val="68026B4A"/>
    <w:rsid w:val="681974EB"/>
    <w:rsid w:val="68441FF9"/>
    <w:rsid w:val="68637725"/>
    <w:rsid w:val="686B098F"/>
    <w:rsid w:val="686E1C26"/>
    <w:rsid w:val="68B13242"/>
    <w:rsid w:val="68C746F7"/>
    <w:rsid w:val="68CA77A4"/>
    <w:rsid w:val="68F21653"/>
    <w:rsid w:val="68FB1B92"/>
    <w:rsid w:val="68FE2B66"/>
    <w:rsid w:val="69057D23"/>
    <w:rsid w:val="690F6F65"/>
    <w:rsid w:val="691649E4"/>
    <w:rsid w:val="692622A5"/>
    <w:rsid w:val="692F585A"/>
    <w:rsid w:val="694E73C9"/>
    <w:rsid w:val="696E7976"/>
    <w:rsid w:val="6975345F"/>
    <w:rsid w:val="697C2271"/>
    <w:rsid w:val="697C7257"/>
    <w:rsid w:val="69845274"/>
    <w:rsid w:val="699D3A13"/>
    <w:rsid w:val="69A1219F"/>
    <w:rsid w:val="69A16C59"/>
    <w:rsid w:val="69A23859"/>
    <w:rsid w:val="69A515C7"/>
    <w:rsid w:val="69B1626F"/>
    <w:rsid w:val="69C837E1"/>
    <w:rsid w:val="69D16589"/>
    <w:rsid w:val="69DD42E5"/>
    <w:rsid w:val="69ED2188"/>
    <w:rsid w:val="6A16702E"/>
    <w:rsid w:val="6A2D217D"/>
    <w:rsid w:val="6A3053E5"/>
    <w:rsid w:val="6A5D7D75"/>
    <w:rsid w:val="6A5E2C49"/>
    <w:rsid w:val="6A5F216E"/>
    <w:rsid w:val="6A814D79"/>
    <w:rsid w:val="6A9E278E"/>
    <w:rsid w:val="6A9F14FB"/>
    <w:rsid w:val="6AD66324"/>
    <w:rsid w:val="6B0600C0"/>
    <w:rsid w:val="6B08193B"/>
    <w:rsid w:val="6B102506"/>
    <w:rsid w:val="6B113469"/>
    <w:rsid w:val="6B154FE0"/>
    <w:rsid w:val="6B161894"/>
    <w:rsid w:val="6B386CB1"/>
    <w:rsid w:val="6B430753"/>
    <w:rsid w:val="6B59096C"/>
    <w:rsid w:val="6B66073E"/>
    <w:rsid w:val="6B9734FF"/>
    <w:rsid w:val="6B973A42"/>
    <w:rsid w:val="6BA50F78"/>
    <w:rsid w:val="6BAA0E3C"/>
    <w:rsid w:val="6BBA26E8"/>
    <w:rsid w:val="6BCC1FC0"/>
    <w:rsid w:val="6BE20961"/>
    <w:rsid w:val="6BEF0E44"/>
    <w:rsid w:val="6BFD1C3F"/>
    <w:rsid w:val="6C0A12CA"/>
    <w:rsid w:val="6C2A3910"/>
    <w:rsid w:val="6C382DF1"/>
    <w:rsid w:val="6C3E1C47"/>
    <w:rsid w:val="6C722924"/>
    <w:rsid w:val="6C7358E7"/>
    <w:rsid w:val="6C760C80"/>
    <w:rsid w:val="6C7672FB"/>
    <w:rsid w:val="6C7D4B2E"/>
    <w:rsid w:val="6C885F6F"/>
    <w:rsid w:val="6CAB30F9"/>
    <w:rsid w:val="6CBE0FCB"/>
    <w:rsid w:val="6CD132FB"/>
    <w:rsid w:val="6CD877C3"/>
    <w:rsid w:val="6CDF2E4F"/>
    <w:rsid w:val="6CE50DE3"/>
    <w:rsid w:val="6D005B58"/>
    <w:rsid w:val="6D0B038C"/>
    <w:rsid w:val="6D3D6610"/>
    <w:rsid w:val="6D3E39B3"/>
    <w:rsid w:val="6D4E6B70"/>
    <w:rsid w:val="6D50469D"/>
    <w:rsid w:val="6D5910F7"/>
    <w:rsid w:val="6D661494"/>
    <w:rsid w:val="6D7A789F"/>
    <w:rsid w:val="6D8B08EC"/>
    <w:rsid w:val="6DAA73FE"/>
    <w:rsid w:val="6DAE17F1"/>
    <w:rsid w:val="6DC24CEC"/>
    <w:rsid w:val="6DC73E5A"/>
    <w:rsid w:val="6DD36D10"/>
    <w:rsid w:val="6DD5307F"/>
    <w:rsid w:val="6DD72B83"/>
    <w:rsid w:val="6DDC2CAE"/>
    <w:rsid w:val="6E07364A"/>
    <w:rsid w:val="6E075F35"/>
    <w:rsid w:val="6E1E6B73"/>
    <w:rsid w:val="6E3440F2"/>
    <w:rsid w:val="6E6B20A4"/>
    <w:rsid w:val="6E715DD5"/>
    <w:rsid w:val="6E736A8F"/>
    <w:rsid w:val="6E7C126C"/>
    <w:rsid w:val="6E7E5A33"/>
    <w:rsid w:val="6E80057A"/>
    <w:rsid w:val="6E836B24"/>
    <w:rsid w:val="6E927C1A"/>
    <w:rsid w:val="6ED06E0D"/>
    <w:rsid w:val="6ED1310B"/>
    <w:rsid w:val="6EDB0A02"/>
    <w:rsid w:val="6EF035FA"/>
    <w:rsid w:val="6F006748"/>
    <w:rsid w:val="6F0333E1"/>
    <w:rsid w:val="6F037E5A"/>
    <w:rsid w:val="6F0E482A"/>
    <w:rsid w:val="6F5B7934"/>
    <w:rsid w:val="6F6A1399"/>
    <w:rsid w:val="6F8B25C4"/>
    <w:rsid w:val="6F992BD4"/>
    <w:rsid w:val="6FA3540E"/>
    <w:rsid w:val="6FA92B76"/>
    <w:rsid w:val="6FA96375"/>
    <w:rsid w:val="6FB603F0"/>
    <w:rsid w:val="6FBA2543"/>
    <w:rsid w:val="6FC53D14"/>
    <w:rsid w:val="7011620E"/>
    <w:rsid w:val="701A3E9E"/>
    <w:rsid w:val="701D465E"/>
    <w:rsid w:val="7025639F"/>
    <w:rsid w:val="70294A32"/>
    <w:rsid w:val="702C1027"/>
    <w:rsid w:val="70506E3C"/>
    <w:rsid w:val="70597D80"/>
    <w:rsid w:val="70825B94"/>
    <w:rsid w:val="708A4D58"/>
    <w:rsid w:val="708B529E"/>
    <w:rsid w:val="70924B9B"/>
    <w:rsid w:val="7095179B"/>
    <w:rsid w:val="70993AFC"/>
    <w:rsid w:val="709C1A26"/>
    <w:rsid w:val="709D579F"/>
    <w:rsid w:val="70BA3C5B"/>
    <w:rsid w:val="70C44AD9"/>
    <w:rsid w:val="70CD6D9A"/>
    <w:rsid w:val="70D0206A"/>
    <w:rsid w:val="70D861BF"/>
    <w:rsid w:val="70DE2F60"/>
    <w:rsid w:val="70F936D9"/>
    <w:rsid w:val="711A5A94"/>
    <w:rsid w:val="714C1284"/>
    <w:rsid w:val="714D72B8"/>
    <w:rsid w:val="714E46F6"/>
    <w:rsid w:val="71576665"/>
    <w:rsid w:val="715D3FDE"/>
    <w:rsid w:val="71695B67"/>
    <w:rsid w:val="71773B20"/>
    <w:rsid w:val="718A0C20"/>
    <w:rsid w:val="719F3256"/>
    <w:rsid w:val="71AF05BA"/>
    <w:rsid w:val="71B138F5"/>
    <w:rsid w:val="71B33DA4"/>
    <w:rsid w:val="71B46975"/>
    <w:rsid w:val="71CB3977"/>
    <w:rsid w:val="71CC02C8"/>
    <w:rsid w:val="71CF3F9D"/>
    <w:rsid w:val="71E07AA2"/>
    <w:rsid w:val="71E50374"/>
    <w:rsid w:val="71EB37EB"/>
    <w:rsid w:val="71F85B6D"/>
    <w:rsid w:val="71F9658A"/>
    <w:rsid w:val="72010869"/>
    <w:rsid w:val="720F6228"/>
    <w:rsid w:val="72192FFB"/>
    <w:rsid w:val="721E66FF"/>
    <w:rsid w:val="72442094"/>
    <w:rsid w:val="724C01D4"/>
    <w:rsid w:val="724C2FD8"/>
    <w:rsid w:val="724D7AC7"/>
    <w:rsid w:val="725A77F4"/>
    <w:rsid w:val="726F52AF"/>
    <w:rsid w:val="72740B69"/>
    <w:rsid w:val="72816160"/>
    <w:rsid w:val="728C598B"/>
    <w:rsid w:val="728C6806"/>
    <w:rsid w:val="72BC71C0"/>
    <w:rsid w:val="72C023B8"/>
    <w:rsid w:val="72C664D9"/>
    <w:rsid w:val="72C70FF4"/>
    <w:rsid w:val="72CA5DE6"/>
    <w:rsid w:val="72D6715D"/>
    <w:rsid w:val="72E51913"/>
    <w:rsid w:val="72EA3A04"/>
    <w:rsid w:val="72EF558F"/>
    <w:rsid w:val="733D46F8"/>
    <w:rsid w:val="7353202C"/>
    <w:rsid w:val="7356205A"/>
    <w:rsid w:val="736C4FAB"/>
    <w:rsid w:val="73726F8C"/>
    <w:rsid w:val="73805470"/>
    <w:rsid w:val="73977C09"/>
    <w:rsid w:val="739A4E8A"/>
    <w:rsid w:val="73AC38B2"/>
    <w:rsid w:val="73B85193"/>
    <w:rsid w:val="73C137AD"/>
    <w:rsid w:val="73CA1E7A"/>
    <w:rsid w:val="73D54113"/>
    <w:rsid w:val="73F22A72"/>
    <w:rsid w:val="73F4410D"/>
    <w:rsid w:val="742E508B"/>
    <w:rsid w:val="743F3D1B"/>
    <w:rsid w:val="74514836"/>
    <w:rsid w:val="746464FE"/>
    <w:rsid w:val="747A2501"/>
    <w:rsid w:val="747F300B"/>
    <w:rsid w:val="74977C4C"/>
    <w:rsid w:val="74B453E8"/>
    <w:rsid w:val="74BE72A5"/>
    <w:rsid w:val="74CD6B93"/>
    <w:rsid w:val="74D24659"/>
    <w:rsid w:val="74E92D60"/>
    <w:rsid w:val="74F6722B"/>
    <w:rsid w:val="74FD5C25"/>
    <w:rsid w:val="74FD680C"/>
    <w:rsid w:val="751C0816"/>
    <w:rsid w:val="75254BA3"/>
    <w:rsid w:val="75530B22"/>
    <w:rsid w:val="7555340F"/>
    <w:rsid w:val="75597DCF"/>
    <w:rsid w:val="755D7AAE"/>
    <w:rsid w:val="75705230"/>
    <w:rsid w:val="75894543"/>
    <w:rsid w:val="759D2392"/>
    <w:rsid w:val="759E24FF"/>
    <w:rsid w:val="759E3629"/>
    <w:rsid w:val="759E3B4B"/>
    <w:rsid w:val="75AD3658"/>
    <w:rsid w:val="75C25129"/>
    <w:rsid w:val="75C66E24"/>
    <w:rsid w:val="75E654F2"/>
    <w:rsid w:val="75F553E8"/>
    <w:rsid w:val="76066838"/>
    <w:rsid w:val="760D71E6"/>
    <w:rsid w:val="76153E23"/>
    <w:rsid w:val="763454C0"/>
    <w:rsid w:val="764173A7"/>
    <w:rsid w:val="764F3ACF"/>
    <w:rsid w:val="765C1150"/>
    <w:rsid w:val="76654669"/>
    <w:rsid w:val="7677713F"/>
    <w:rsid w:val="76850C5E"/>
    <w:rsid w:val="7685686B"/>
    <w:rsid w:val="768F7269"/>
    <w:rsid w:val="769E7B7B"/>
    <w:rsid w:val="76B048E8"/>
    <w:rsid w:val="76BB2180"/>
    <w:rsid w:val="76BD6253"/>
    <w:rsid w:val="76C20247"/>
    <w:rsid w:val="76F46A9D"/>
    <w:rsid w:val="76F86C02"/>
    <w:rsid w:val="77215D18"/>
    <w:rsid w:val="7727026C"/>
    <w:rsid w:val="772E0568"/>
    <w:rsid w:val="77343404"/>
    <w:rsid w:val="773B1B9D"/>
    <w:rsid w:val="77423F48"/>
    <w:rsid w:val="774779CE"/>
    <w:rsid w:val="7762586D"/>
    <w:rsid w:val="776A354E"/>
    <w:rsid w:val="777A2655"/>
    <w:rsid w:val="77CC0D87"/>
    <w:rsid w:val="77D25D2E"/>
    <w:rsid w:val="77EB2CE1"/>
    <w:rsid w:val="780717A7"/>
    <w:rsid w:val="78080A1E"/>
    <w:rsid w:val="783A6F96"/>
    <w:rsid w:val="783E06E7"/>
    <w:rsid w:val="784A356A"/>
    <w:rsid w:val="784C76C2"/>
    <w:rsid w:val="784D2D5B"/>
    <w:rsid w:val="78503898"/>
    <w:rsid w:val="78532C81"/>
    <w:rsid w:val="785931B9"/>
    <w:rsid w:val="7859644F"/>
    <w:rsid w:val="78680440"/>
    <w:rsid w:val="78760522"/>
    <w:rsid w:val="787713B4"/>
    <w:rsid w:val="78782796"/>
    <w:rsid w:val="787A5856"/>
    <w:rsid w:val="789C4ED1"/>
    <w:rsid w:val="789C5CFA"/>
    <w:rsid w:val="78A064F4"/>
    <w:rsid w:val="78C778F6"/>
    <w:rsid w:val="78D13BAA"/>
    <w:rsid w:val="78D619D6"/>
    <w:rsid w:val="78DA27F1"/>
    <w:rsid w:val="78DA7A12"/>
    <w:rsid w:val="78F261E6"/>
    <w:rsid w:val="78FD4563"/>
    <w:rsid w:val="790232DB"/>
    <w:rsid w:val="791B3704"/>
    <w:rsid w:val="792B6529"/>
    <w:rsid w:val="792F75B6"/>
    <w:rsid w:val="793573A6"/>
    <w:rsid w:val="793D4B95"/>
    <w:rsid w:val="794434AE"/>
    <w:rsid w:val="794F3F6B"/>
    <w:rsid w:val="7952069E"/>
    <w:rsid w:val="797C23F5"/>
    <w:rsid w:val="79B835CF"/>
    <w:rsid w:val="79E32474"/>
    <w:rsid w:val="79FF3F62"/>
    <w:rsid w:val="7A044FFA"/>
    <w:rsid w:val="7A0C60AF"/>
    <w:rsid w:val="7A0F4D73"/>
    <w:rsid w:val="7A146AD1"/>
    <w:rsid w:val="7A1A39BC"/>
    <w:rsid w:val="7A236943"/>
    <w:rsid w:val="7A2E04F3"/>
    <w:rsid w:val="7A31152D"/>
    <w:rsid w:val="7A4A42A1"/>
    <w:rsid w:val="7A4B2C37"/>
    <w:rsid w:val="7A5944E4"/>
    <w:rsid w:val="7A6F1F5A"/>
    <w:rsid w:val="7A6F5AB6"/>
    <w:rsid w:val="7A7237F8"/>
    <w:rsid w:val="7A790DB2"/>
    <w:rsid w:val="7A7C4C7C"/>
    <w:rsid w:val="7A835199"/>
    <w:rsid w:val="7A926349"/>
    <w:rsid w:val="7A960256"/>
    <w:rsid w:val="7A997C6D"/>
    <w:rsid w:val="7AAC6D0A"/>
    <w:rsid w:val="7AAE2C70"/>
    <w:rsid w:val="7AB642C6"/>
    <w:rsid w:val="7AC21FB4"/>
    <w:rsid w:val="7ACD779E"/>
    <w:rsid w:val="7AE7009C"/>
    <w:rsid w:val="7AEC7106"/>
    <w:rsid w:val="7B0C4611"/>
    <w:rsid w:val="7B2442A2"/>
    <w:rsid w:val="7B305E36"/>
    <w:rsid w:val="7B33221E"/>
    <w:rsid w:val="7B4F484C"/>
    <w:rsid w:val="7B6A1F6E"/>
    <w:rsid w:val="7B902692"/>
    <w:rsid w:val="7BC82AD2"/>
    <w:rsid w:val="7BD53ACF"/>
    <w:rsid w:val="7BD92135"/>
    <w:rsid w:val="7BDD1298"/>
    <w:rsid w:val="7BFC4C19"/>
    <w:rsid w:val="7C0067A9"/>
    <w:rsid w:val="7C062606"/>
    <w:rsid w:val="7C0B048F"/>
    <w:rsid w:val="7C1032C9"/>
    <w:rsid w:val="7C4B60B7"/>
    <w:rsid w:val="7C587E0F"/>
    <w:rsid w:val="7C594C70"/>
    <w:rsid w:val="7C666295"/>
    <w:rsid w:val="7C6E4C43"/>
    <w:rsid w:val="7C75137E"/>
    <w:rsid w:val="7C793889"/>
    <w:rsid w:val="7C964F42"/>
    <w:rsid w:val="7C98667A"/>
    <w:rsid w:val="7CA35D58"/>
    <w:rsid w:val="7CD2143C"/>
    <w:rsid w:val="7CD50349"/>
    <w:rsid w:val="7CE6437A"/>
    <w:rsid w:val="7CEC7D69"/>
    <w:rsid w:val="7CED5CBE"/>
    <w:rsid w:val="7CFD593C"/>
    <w:rsid w:val="7D01165A"/>
    <w:rsid w:val="7D07647A"/>
    <w:rsid w:val="7D1A4C6A"/>
    <w:rsid w:val="7D1A7E38"/>
    <w:rsid w:val="7D4009EF"/>
    <w:rsid w:val="7D4362E8"/>
    <w:rsid w:val="7D6F401F"/>
    <w:rsid w:val="7D8E6354"/>
    <w:rsid w:val="7D95108A"/>
    <w:rsid w:val="7DBE513D"/>
    <w:rsid w:val="7DC50094"/>
    <w:rsid w:val="7DD722F0"/>
    <w:rsid w:val="7DE721F0"/>
    <w:rsid w:val="7E0919B2"/>
    <w:rsid w:val="7E2748F9"/>
    <w:rsid w:val="7E2C18CE"/>
    <w:rsid w:val="7E31282A"/>
    <w:rsid w:val="7E5078E5"/>
    <w:rsid w:val="7E5517D9"/>
    <w:rsid w:val="7E6A57E5"/>
    <w:rsid w:val="7E7F2578"/>
    <w:rsid w:val="7E857B4C"/>
    <w:rsid w:val="7E8B414C"/>
    <w:rsid w:val="7E9A0CA5"/>
    <w:rsid w:val="7EA412BC"/>
    <w:rsid w:val="7EB0669D"/>
    <w:rsid w:val="7EB55151"/>
    <w:rsid w:val="7EDA196C"/>
    <w:rsid w:val="7EDC071F"/>
    <w:rsid w:val="7EF80591"/>
    <w:rsid w:val="7F0A04A3"/>
    <w:rsid w:val="7F170C58"/>
    <w:rsid w:val="7F1C5AC4"/>
    <w:rsid w:val="7F221EE7"/>
    <w:rsid w:val="7F2E371E"/>
    <w:rsid w:val="7F542A01"/>
    <w:rsid w:val="7F726CDE"/>
    <w:rsid w:val="7F7553C9"/>
    <w:rsid w:val="7F7A329A"/>
    <w:rsid w:val="7F863260"/>
    <w:rsid w:val="7F930C38"/>
    <w:rsid w:val="7F9F508F"/>
    <w:rsid w:val="7FB9626B"/>
    <w:rsid w:val="7FC95C68"/>
    <w:rsid w:val="7FCC7507"/>
    <w:rsid w:val="7FE63F6A"/>
    <w:rsid w:val="7FE64C05"/>
    <w:rsid w:val="7FE75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pacing w:line="360" w:lineRule="auto"/>
      <w:ind w:firstLine="964"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ind w:firstLine="0" w:firstLineChars="0"/>
      <w:jc w:val="center"/>
      <w:outlineLvl w:val="0"/>
    </w:pPr>
    <w:rPr>
      <w:b/>
      <w:kern w:val="44"/>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0"/>
    <w:pPr>
      <w:ind w:firstLine="420"/>
    </w:pPr>
    <w:rPr>
      <w:snapToGrid w:val="0"/>
      <w:kern w:val="0"/>
    </w:rPr>
  </w:style>
  <w:style w:type="paragraph" w:styleId="4">
    <w:name w:val="annotation text"/>
    <w:basedOn w:val="1"/>
    <w:link w:val="20"/>
    <w:qFormat/>
    <w:uiPriority w:val="0"/>
    <w:pPr>
      <w:jc w:val="left"/>
    </w:pPr>
  </w:style>
  <w:style w:type="paragraph" w:styleId="5">
    <w:name w:val="Body Text"/>
    <w:basedOn w:val="1"/>
    <w:next w:val="1"/>
    <w:unhideWhenUsed/>
    <w:qFormat/>
    <w:uiPriority w:val="99"/>
    <w:pPr>
      <w:spacing w:line="240" w:lineRule="auto"/>
      <w:ind w:firstLine="0" w:firstLineChars="0"/>
      <w:jc w:val="center"/>
    </w:pPr>
  </w:style>
  <w:style w:type="paragraph" w:styleId="6">
    <w:name w:val="Balloon Text"/>
    <w:basedOn w:val="1"/>
    <w:link w:val="22"/>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kern w:val="0"/>
      <w:sz w:val="18"/>
      <w:szCs w:val="20"/>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toc 1"/>
    <w:basedOn w:val="1"/>
    <w:next w:val="1"/>
    <w:qFormat/>
    <w:uiPriority w:val="0"/>
  </w:style>
  <w:style w:type="paragraph" w:styleId="10">
    <w:name w:val="annotation subject"/>
    <w:basedOn w:val="4"/>
    <w:next w:val="4"/>
    <w:link w:val="21"/>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annotation reference"/>
    <w:basedOn w:val="13"/>
    <w:qFormat/>
    <w:uiPriority w:val="0"/>
    <w:rPr>
      <w:sz w:val="21"/>
      <w:szCs w:val="21"/>
    </w:rPr>
  </w:style>
  <w:style w:type="paragraph" w:customStyle="1" w:styleId="15">
    <w:name w:val="表格"/>
    <w:basedOn w:val="3"/>
    <w:next w:val="1"/>
    <w:qFormat/>
    <w:uiPriority w:val="0"/>
    <w:pPr>
      <w:spacing w:line="240" w:lineRule="auto"/>
      <w:ind w:firstLine="0" w:firstLineChars="0"/>
      <w:jc w:val="center"/>
    </w:pPr>
    <w:rPr>
      <w:sz w:val="21"/>
    </w:rPr>
  </w:style>
  <w:style w:type="paragraph" w:customStyle="1" w:styleId="16">
    <w:name w:val="正文-标题"/>
    <w:basedOn w:val="1"/>
    <w:qFormat/>
    <w:uiPriority w:val="0"/>
    <w:pPr>
      <w:ind w:firstLine="720"/>
    </w:pPr>
    <w:rPr>
      <w:b/>
    </w:rPr>
  </w:style>
  <w:style w:type="paragraph" w:customStyle="1" w:styleId="17">
    <w:name w:val="正文-大多数内容"/>
    <w:basedOn w:val="1"/>
    <w:qFormat/>
    <w:uiPriority w:val="0"/>
    <w:pPr>
      <w:ind w:firstLine="720"/>
    </w:pPr>
  </w:style>
  <w:style w:type="paragraph" w:customStyle="1" w:styleId="18">
    <w:name w:val="图标头"/>
    <w:basedOn w:val="1"/>
    <w:link w:val="19"/>
    <w:qFormat/>
    <w:uiPriority w:val="0"/>
    <w:pPr>
      <w:spacing w:line="240" w:lineRule="auto"/>
      <w:ind w:firstLine="0" w:firstLineChars="0"/>
      <w:jc w:val="center"/>
    </w:pPr>
    <w:rPr>
      <w:b/>
      <w:sz w:val="21"/>
    </w:rPr>
  </w:style>
  <w:style w:type="character" w:customStyle="1" w:styleId="19">
    <w:name w:val="图标头 Char"/>
    <w:link w:val="18"/>
    <w:qFormat/>
    <w:uiPriority w:val="0"/>
    <w:rPr>
      <w:rFonts w:ascii="Times New Roman" w:hAnsi="Times New Roman" w:eastAsia="宋体"/>
      <w:b/>
      <w:color w:val="auto"/>
      <w:sz w:val="21"/>
      <w:u w:val="none"/>
    </w:rPr>
  </w:style>
  <w:style w:type="character" w:customStyle="1" w:styleId="20">
    <w:name w:val="批注文字 Char"/>
    <w:basedOn w:val="13"/>
    <w:link w:val="4"/>
    <w:qFormat/>
    <w:uiPriority w:val="0"/>
    <w:rPr>
      <w:kern w:val="2"/>
      <w:sz w:val="24"/>
      <w:szCs w:val="24"/>
    </w:rPr>
  </w:style>
  <w:style w:type="character" w:customStyle="1" w:styleId="21">
    <w:name w:val="批注主题 Char"/>
    <w:basedOn w:val="20"/>
    <w:link w:val="10"/>
    <w:qFormat/>
    <w:uiPriority w:val="0"/>
    <w:rPr>
      <w:b/>
      <w:bCs/>
      <w:kern w:val="2"/>
      <w:sz w:val="24"/>
      <w:szCs w:val="24"/>
    </w:rPr>
  </w:style>
  <w:style w:type="character" w:customStyle="1" w:styleId="22">
    <w:name w:val="批注框文本 Char"/>
    <w:basedOn w:val="13"/>
    <w:link w:val="6"/>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4.png"/><Relationship Id="rId31" Type="http://schemas.openxmlformats.org/officeDocument/2006/relationships/image" Target="media/image13.png"/><Relationship Id="rId30" Type="http://schemas.openxmlformats.org/officeDocument/2006/relationships/image" Target="file:///C:\Users\Administrator\Documents\WXWork\1688853966596453\Cache\Image\2021-12\&#20225;&#19994;&#24494;&#20449;&#25130;&#22270;_16397105907790.png" TargetMode="External"/><Relationship Id="rId3" Type="http://schemas.openxmlformats.org/officeDocument/2006/relationships/footnotes" Target="footnotes.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png"/><Relationship Id="rId24" Type="http://schemas.openxmlformats.org/officeDocument/2006/relationships/image" Target="media/image7.png"/><Relationship Id="rId23" Type="http://schemas.openxmlformats.org/officeDocument/2006/relationships/image" Target="media/image6.png"/><Relationship Id="rId22" Type="http://schemas.openxmlformats.org/officeDocument/2006/relationships/image" Target="media/image5.png"/><Relationship Id="rId21" Type="http://schemas.openxmlformats.org/officeDocument/2006/relationships/image" Target="media/image4.w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3.emf"/><Relationship Id="rId18" Type="http://schemas.openxmlformats.org/officeDocument/2006/relationships/oleObject" Target="embeddings/oleObject3.bin"/><Relationship Id="rId17" Type="http://schemas.openxmlformats.org/officeDocument/2006/relationships/image" Target="media/image2.emf"/><Relationship Id="rId16" Type="http://schemas.openxmlformats.org/officeDocument/2006/relationships/oleObject" Target="embeddings/oleObject2.bin"/><Relationship Id="rId15" Type="http://schemas.openxmlformats.org/officeDocument/2006/relationships/image" Target="media/image1.e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42</Pages>
  <Words>9672</Words>
  <Characters>10466</Characters>
  <Lines>55</Lines>
  <Paragraphs>57</Paragraphs>
  <TotalTime>21</TotalTime>
  <ScaleCrop>false</ScaleCrop>
  <LinksUpToDate>false</LinksUpToDate>
  <CharactersWithSpaces>10599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2024-11-26T04:07:00Z</dcterms:created>
  <dc:creator>Administrator</dc:creator>
  <cp:lastModifiedBy>宇灏</cp:lastModifiedBy>
  <cp:lastPrinted>2024-12-03T08:42:00Z</cp:lastPrinted>
  <dcterms:modified xsi:type="dcterms:W3CDTF">2024-12-04T02:50:44Z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55FB019254334E5BB2234D4C8827E6ED_13</vt:lpwstr>
  </property>
</Properties>
</file>